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B0" w:rsidRDefault="00E74145" w:rsidP="00D83EB0">
      <w:pPr>
        <w:suppressAutoHyphens/>
        <w:jc w:val="center"/>
        <w:rPr>
          <w:lang w:eastAsia="zh-CN"/>
        </w:rPr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B0" w:rsidRDefault="00D83EB0" w:rsidP="00D83EB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D83EB0" w:rsidRDefault="00D83EB0" w:rsidP="00D83EB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D83EB0" w:rsidRDefault="00D83EB0" w:rsidP="00D83EB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D83EB0" w:rsidRDefault="00D83EB0" w:rsidP="00D83EB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D83EB0" w:rsidRDefault="00D83EB0" w:rsidP="00D83EB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D83EB0" w:rsidRDefault="00D83EB0" w:rsidP="00D83EB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D83EB0" w:rsidRPr="00E51F44" w:rsidTr="009827BF">
        <w:trPr>
          <w:trHeight w:val="146"/>
        </w:trPr>
        <w:tc>
          <w:tcPr>
            <w:tcW w:w="5846" w:type="dxa"/>
            <w:shd w:val="clear" w:color="auto" w:fill="auto"/>
          </w:tcPr>
          <w:p w:rsidR="00D83EB0" w:rsidRPr="00E51F44" w:rsidRDefault="00534076" w:rsidP="009827B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27</w:t>
            </w:r>
            <w:r w:rsidR="00B36D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.09.2024</w:t>
            </w:r>
          </w:p>
        </w:tc>
        <w:tc>
          <w:tcPr>
            <w:tcW w:w="2409" w:type="dxa"/>
            <w:shd w:val="clear" w:color="auto" w:fill="auto"/>
          </w:tcPr>
          <w:p w:rsidR="00D83EB0" w:rsidRPr="00E51F44" w:rsidRDefault="00D83EB0" w:rsidP="009827B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51F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36DD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80</w:t>
            </w:r>
          </w:p>
        </w:tc>
      </w:tr>
    </w:tbl>
    <w:p w:rsidR="00D83EB0" w:rsidRDefault="00D83EB0" w:rsidP="00D83EB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645B5D" w:rsidRDefault="00645B5D" w:rsidP="00D83EB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B75690" w:rsidRPr="00C27EA2" w:rsidRDefault="009312ED" w:rsidP="009312ED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C27EA2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Пригородное Плавского района от 24.03.2023 № 26 «</w:t>
      </w:r>
      <w:r w:rsidR="00B75690" w:rsidRPr="00C27EA2">
        <w:rPr>
          <w:rFonts w:ascii="PT Astra Serif" w:hAnsi="PT Astra Serif"/>
          <w:b/>
          <w:sz w:val="26"/>
          <w:szCs w:val="26"/>
        </w:rPr>
        <w:t xml:space="preserve">Об утверждении муниципальной программы «Обеспечение качественным жильем и услугами жилищно-коммунального хозяйства населения в муниципальном образовании </w:t>
      </w:r>
      <w:r w:rsidR="00D73589" w:rsidRPr="00C27EA2">
        <w:rPr>
          <w:rFonts w:ascii="PT Astra Serif" w:hAnsi="PT Astra Serif"/>
          <w:b/>
          <w:sz w:val="26"/>
          <w:szCs w:val="26"/>
        </w:rPr>
        <w:t>Пригородное</w:t>
      </w:r>
      <w:r w:rsidR="00B75690" w:rsidRPr="00C27EA2">
        <w:rPr>
          <w:rFonts w:ascii="PT Astra Serif" w:hAnsi="PT Astra Serif"/>
          <w:b/>
          <w:sz w:val="26"/>
          <w:szCs w:val="26"/>
        </w:rPr>
        <w:t xml:space="preserve"> Плав</w:t>
      </w:r>
      <w:r w:rsidR="00645D2E" w:rsidRPr="00C27EA2">
        <w:rPr>
          <w:rFonts w:ascii="PT Astra Serif" w:hAnsi="PT Astra Serif"/>
          <w:b/>
          <w:sz w:val="26"/>
          <w:szCs w:val="26"/>
        </w:rPr>
        <w:t>ского района</w:t>
      </w:r>
      <w:r w:rsidR="00B75690" w:rsidRPr="00C27EA2">
        <w:rPr>
          <w:rFonts w:ascii="PT Astra Serif" w:hAnsi="PT Astra Serif"/>
          <w:b/>
          <w:sz w:val="26"/>
          <w:szCs w:val="26"/>
        </w:rPr>
        <w:t>»</w:t>
      </w:r>
    </w:p>
    <w:p w:rsidR="00B75690" w:rsidRPr="00C27EA2" w:rsidRDefault="00B75690" w:rsidP="005D51BD">
      <w:pPr>
        <w:pStyle w:val="ConsPlusNormal"/>
        <w:widowControl/>
        <w:tabs>
          <w:tab w:val="left" w:pos="5040"/>
        </w:tabs>
        <w:ind w:right="5364" w:firstLine="709"/>
        <w:rPr>
          <w:rFonts w:ascii="Times New Roman" w:hAnsi="Times New Roman" w:cs="Times New Roman"/>
          <w:sz w:val="26"/>
          <w:szCs w:val="26"/>
        </w:rPr>
      </w:pPr>
    </w:p>
    <w:p w:rsidR="00D73589" w:rsidRPr="00C27EA2" w:rsidRDefault="00D73589" w:rsidP="00A633B5">
      <w:pPr>
        <w:spacing w:before="120"/>
        <w:ind w:firstLine="709"/>
        <w:rPr>
          <w:rFonts w:ascii="PT Astra Serif" w:hAnsi="PT Astra Serif"/>
          <w:sz w:val="26"/>
          <w:szCs w:val="26"/>
        </w:rPr>
      </w:pPr>
      <w:r w:rsidRPr="00C27EA2">
        <w:rPr>
          <w:rFonts w:ascii="PT Astra Serif" w:hAnsi="PT Astra Serif"/>
          <w:sz w:val="26"/>
          <w:szCs w:val="26"/>
        </w:rPr>
        <w:t xml:space="preserve">В соответствии с </w:t>
      </w:r>
      <w:r w:rsidRPr="00C27EA2">
        <w:rPr>
          <w:rStyle w:val="a5"/>
          <w:rFonts w:ascii="PT Astra Serif" w:hAnsi="PT Astra Serif"/>
          <w:b w:val="0"/>
          <w:bCs/>
          <w:color w:val="000000"/>
          <w:szCs w:val="26"/>
        </w:rPr>
        <w:t>Федеральным законом</w:t>
      </w:r>
      <w:r w:rsidRPr="00C27EA2">
        <w:rPr>
          <w:rFonts w:ascii="PT Astra Serif" w:hAnsi="PT Astra Serif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</w:t>
      </w:r>
      <w:r w:rsidR="00545CF5" w:rsidRPr="00C27EA2">
        <w:rPr>
          <w:rFonts w:ascii="PT Astra Serif" w:hAnsi="PT Astra Serif"/>
          <w:sz w:val="26"/>
          <w:szCs w:val="26"/>
        </w:rPr>
        <w:t xml:space="preserve"> </w:t>
      </w:r>
      <w:r w:rsidRPr="00C27EA2">
        <w:rPr>
          <w:rFonts w:ascii="PT Astra Serif" w:hAnsi="PT Astra Serif"/>
          <w:sz w:val="26"/>
          <w:szCs w:val="26"/>
        </w:rPr>
        <w:t xml:space="preserve">Постановлением Администрации муниципального образования Пригородное Плавского района от </w:t>
      </w:r>
      <w:r w:rsidR="00D62ABA" w:rsidRPr="00C27EA2">
        <w:rPr>
          <w:rFonts w:ascii="PT Astra Serif" w:hAnsi="PT Astra Serif"/>
          <w:sz w:val="26"/>
          <w:szCs w:val="26"/>
        </w:rPr>
        <w:t>11.12.2013</w:t>
      </w:r>
      <w:r w:rsidRPr="00C27EA2">
        <w:rPr>
          <w:rFonts w:ascii="PT Astra Serif" w:hAnsi="PT Astra Serif"/>
          <w:sz w:val="26"/>
          <w:szCs w:val="26"/>
        </w:rPr>
        <w:t xml:space="preserve"> № </w:t>
      </w:r>
      <w:r w:rsidR="00D62ABA" w:rsidRPr="00C27EA2">
        <w:rPr>
          <w:rFonts w:ascii="PT Astra Serif" w:hAnsi="PT Astra Serif"/>
          <w:sz w:val="26"/>
          <w:szCs w:val="26"/>
        </w:rPr>
        <w:t>37</w:t>
      </w:r>
      <w:r w:rsidRPr="00C27EA2">
        <w:rPr>
          <w:rFonts w:ascii="PT Astra Serif" w:hAnsi="PT Astra Serif"/>
          <w:sz w:val="26"/>
          <w:szCs w:val="26"/>
        </w:rPr>
        <w:t xml:space="preserve"> «Об утверждении </w:t>
      </w:r>
      <w:r w:rsidR="00D62ABA" w:rsidRPr="00C27EA2">
        <w:rPr>
          <w:rFonts w:ascii="PT Astra Serif" w:hAnsi="PT Astra Serif"/>
          <w:sz w:val="26"/>
          <w:szCs w:val="26"/>
        </w:rPr>
        <w:t>Порядка разработки, реализации и оценки эффективности муниципальных программ муниципального образования Пригородное Плавского района</w:t>
      </w:r>
      <w:r w:rsidR="00942E47" w:rsidRPr="00C27EA2">
        <w:rPr>
          <w:rFonts w:ascii="PT Astra Serif" w:hAnsi="PT Astra Serif"/>
          <w:sz w:val="26"/>
          <w:szCs w:val="26"/>
        </w:rPr>
        <w:t xml:space="preserve">», на основании статьи </w:t>
      </w:r>
      <w:r w:rsidRPr="00C27EA2">
        <w:rPr>
          <w:rFonts w:ascii="PT Astra Serif" w:hAnsi="PT Astra Serif"/>
          <w:sz w:val="26"/>
          <w:szCs w:val="26"/>
        </w:rPr>
        <w:t>47 Устава муниципального образования Пригородное Плавского</w:t>
      </w:r>
      <w:r w:rsidR="00545CF5" w:rsidRPr="00C27EA2">
        <w:rPr>
          <w:rFonts w:ascii="PT Astra Serif" w:hAnsi="PT Astra Serif"/>
          <w:sz w:val="26"/>
          <w:szCs w:val="26"/>
        </w:rPr>
        <w:t xml:space="preserve"> </w:t>
      </w:r>
      <w:r w:rsidRPr="00C27EA2">
        <w:rPr>
          <w:rFonts w:ascii="PT Astra Serif" w:hAnsi="PT Astra Serif"/>
          <w:sz w:val="26"/>
          <w:szCs w:val="26"/>
        </w:rPr>
        <w:t xml:space="preserve">района Администрация муниципального образования Пригородное Плавского района </w:t>
      </w:r>
      <w:r w:rsidR="00D118A2" w:rsidRPr="00C27EA2">
        <w:rPr>
          <w:rFonts w:ascii="PT Astra Serif" w:hAnsi="PT Astra Serif"/>
          <w:b/>
          <w:bCs/>
          <w:sz w:val="26"/>
          <w:szCs w:val="26"/>
        </w:rPr>
        <w:t>Постановляет</w:t>
      </w:r>
      <w:r w:rsidR="00D118A2" w:rsidRPr="00C27EA2">
        <w:rPr>
          <w:rFonts w:ascii="PT Astra Serif" w:hAnsi="PT Astra Serif"/>
          <w:sz w:val="26"/>
          <w:szCs w:val="26"/>
        </w:rPr>
        <w:t>:</w:t>
      </w:r>
    </w:p>
    <w:p w:rsidR="009312ED" w:rsidRPr="00C27EA2" w:rsidRDefault="009312ED" w:rsidP="009312ED">
      <w:pPr>
        <w:contextualSpacing/>
        <w:rPr>
          <w:rFonts w:ascii="PT Astra Serif" w:hAnsi="PT Astra Serif"/>
          <w:sz w:val="26"/>
          <w:szCs w:val="26"/>
        </w:rPr>
      </w:pPr>
      <w:r w:rsidRPr="00C27EA2">
        <w:rPr>
          <w:rFonts w:ascii="PT Astra Serif" w:hAnsi="PT Astra Serif"/>
          <w:color w:val="000000"/>
          <w:sz w:val="26"/>
          <w:szCs w:val="26"/>
        </w:rPr>
        <w:t xml:space="preserve">     1. Внести </w:t>
      </w:r>
      <w:r w:rsidRPr="00C27EA2">
        <w:rPr>
          <w:rFonts w:ascii="PT Astra Serif" w:hAnsi="PT Astra Serif"/>
          <w:sz w:val="26"/>
          <w:szCs w:val="26"/>
        </w:rPr>
        <w:t>в постановление Администрации муниципального образования Пригородное Плавского района от 24.03.2023 № 26 «Об утверждении</w:t>
      </w:r>
      <w:r w:rsidRPr="00C27EA2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C27EA2">
        <w:rPr>
          <w:rFonts w:ascii="PT Astra Serif" w:hAnsi="PT Astra Serif"/>
          <w:bCs/>
          <w:color w:val="000000"/>
          <w:sz w:val="26"/>
          <w:szCs w:val="26"/>
        </w:rPr>
        <w:t xml:space="preserve">муниципальной программы </w:t>
      </w:r>
      <w:r w:rsidRPr="00C27EA2">
        <w:rPr>
          <w:rFonts w:ascii="PT Astra Serif" w:hAnsi="PT Astra Serif"/>
          <w:sz w:val="26"/>
          <w:szCs w:val="26"/>
        </w:rPr>
        <w:t>«Обеспечение качественным жильем и услугами жилищно-коммунального хозяйства населения</w:t>
      </w:r>
      <w:r w:rsidRPr="00C27EA2">
        <w:rPr>
          <w:rFonts w:ascii="PT Astra Serif" w:hAnsi="PT Astra Serif"/>
          <w:bCs/>
          <w:color w:val="000000"/>
          <w:sz w:val="26"/>
          <w:szCs w:val="26"/>
        </w:rPr>
        <w:t xml:space="preserve"> в муниципальном </w:t>
      </w:r>
      <w:r w:rsidRPr="00C27EA2">
        <w:rPr>
          <w:rFonts w:ascii="PT Astra Serif" w:hAnsi="PT Astra Serif"/>
          <w:bCs/>
          <w:sz w:val="26"/>
          <w:szCs w:val="26"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9312ED" w:rsidRPr="00C27EA2" w:rsidRDefault="009312ED" w:rsidP="009312ED">
      <w:pPr>
        <w:pStyle w:val="aa"/>
        <w:tabs>
          <w:tab w:val="left" w:pos="851"/>
        </w:tabs>
        <w:ind w:left="0"/>
        <w:rPr>
          <w:rFonts w:ascii="PT Astra Serif" w:hAnsi="PT Astra Serif"/>
          <w:sz w:val="26"/>
          <w:szCs w:val="26"/>
        </w:rPr>
      </w:pPr>
      <w:r w:rsidRPr="00C27EA2">
        <w:rPr>
          <w:rFonts w:ascii="PT Astra Serif" w:hAnsi="PT Astra Serif"/>
          <w:sz w:val="26"/>
          <w:szCs w:val="26"/>
        </w:rPr>
        <w:t xml:space="preserve">     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  </w:t>
      </w:r>
    </w:p>
    <w:p w:rsidR="009312ED" w:rsidRPr="00C27EA2" w:rsidRDefault="009312ED" w:rsidP="009312ED">
      <w:pPr>
        <w:pStyle w:val="aa"/>
        <w:tabs>
          <w:tab w:val="left" w:pos="851"/>
        </w:tabs>
        <w:ind w:left="0"/>
        <w:rPr>
          <w:rFonts w:ascii="PT Astra Serif" w:hAnsi="PT Astra Serif"/>
          <w:sz w:val="26"/>
          <w:szCs w:val="26"/>
        </w:rPr>
      </w:pPr>
      <w:r w:rsidRPr="00C27EA2">
        <w:rPr>
          <w:rFonts w:ascii="PT Astra Serif" w:hAnsi="PT Astra Serif"/>
          <w:sz w:val="26"/>
          <w:szCs w:val="26"/>
        </w:rPr>
        <w:t>3. Постановление вступает в силу со дня официального опубликования</w:t>
      </w:r>
      <w:r w:rsidR="00D83EB0" w:rsidRPr="00C27EA2">
        <w:rPr>
          <w:rFonts w:ascii="PT Astra Serif" w:hAnsi="PT Astra Serif"/>
          <w:sz w:val="26"/>
          <w:szCs w:val="26"/>
        </w:rPr>
        <w:t>.</w:t>
      </w:r>
    </w:p>
    <w:p w:rsidR="00645B5D" w:rsidRPr="00C27EA2" w:rsidRDefault="00645B5D" w:rsidP="009312ED">
      <w:pPr>
        <w:pStyle w:val="aa"/>
        <w:tabs>
          <w:tab w:val="left" w:pos="851"/>
        </w:tabs>
        <w:ind w:left="0"/>
        <w:rPr>
          <w:rFonts w:ascii="PT Astra Serif" w:hAnsi="PT Astra Serif"/>
          <w:sz w:val="26"/>
          <w:szCs w:val="26"/>
        </w:rPr>
      </w:pPr>
    </w:p>
    <w:p w:rsidR="00645B5D" w:rsidRPr="00C27EA2" w:rsidRDefault="00645B5D" w:rsidP="009312ED">
      <w:pPr>
        <w:pStyle w:val="aa"/>
        <w:tabs>
          <w:tab w:val="left" w:pos="851"/>
        </w:tabs>
        <w:ind w:left="0"/>
        <w:rPr>
          <w:rFonts w:ascii="PT Astra Serif" w:hAnsi="PT Astra Serif"/>
          <w:sz w:val="26"/>
          <w:szCs w:val="26"/>
        </w:rPr>
      </w:pPr>
    </w:p>
    <w:tbl>
      <w:tblPr>
        <w:tblpPr w:leftFromText="180" w:rightFromText="180" w:vertAnchor="text" w:horzAnchor="margin" w:tblpY="94"/>
        <w:tblW w:w="9799" w:type="dxa"/>
        <w:tblLook w:val="04A0" w:firstRow="1" w:lastRow="0" w:firstColumn="1" w:lastColumn="0" w:noHBand="0" w:noVBand="1"/>
      </w:tblPr>
      <w:tblGrid>
        <w:gridCol w:w="4899"/>
        <w:gridCol w:w="4900"/>
      </w:tblGrid>
      <w:tr w:rsidR="00645B5D" w:rsidRPr="00C27EA2" w:rsidTr="00C27EA2">
        <w:trPr>
          <w:trHeight w:val="828"/>
        </w:trPr>
        <w:tc>
          <w:tcPr>
            <w:tcW w:w="4899" w:type="dxa"/>
            <w:shd w:val="clear" w:color="auto" w:fill="auto"/>
          </w:tcPr>
          <w:p w:rsidR="00645B5D" w:rsidRPr="00C27EA2" w:rsidRDefault="00645B5D" w:rsidP="00AD41A3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C27EA2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:rsidR="00645B5D" w:rsidRPr="00C27EA2" w:rsidRDefault="00645B5D" w:rsidP="00AD41A3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C27EA2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:rsidR="00645B5D" w:rsidRPr="00C27EA2" w:rsidRDefault="00645B5D" w:rsidP="00AD41A3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C27EA2">
              <w:rPr>
                <w:rFonts w:ascii="PT Astra Serif" w:hAnsi="PT Astra Serif"/>
                <w:b/>
                <w:sz w:val="26"/>
                <w:szCs w:val="26"/>
              </w:rPr>
              <w:t>Пригородное Плавского района</w:t>
            </w:r>
          </w:p>
        </w:tc>
        <w:tc>
          <w:tcPr>
            <w:tcW w:w="4900" w:type="dxa"/>
            <w:shd w:val="clear" w:color="auto" w:fill="auto"/>
          </w:tcPr>
          <w:p w:rsidR="00645B5D" w:rsidRPr="00C27EA2" w:rsidRDefault="00645B5D" w:rsidP="00AD41A3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645B5D" w:rsidRPr="00C27EA2" w:rsidRDefault="00645B5D" w:rsidP="00AD41A3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645B5D" w:rsidRPr="00C27EA2" w:rsidRDefault="00645B5D" w:rsidP="00C27EA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27EA2">
              <w:rPr>
                <w:rFonts w:ascii="PT Astra Serif" w:hAnsi="PT Astra Serif"/>
                <w:b/>
                <w:sz w:val="26"/>
                <w:szCs w:val="26"/>
              </w:rPr>
              <w:t xml:space="preserve">          Т.С. Ларюшина</w:t>
            </w:r>
          </w:p>
        </w:tc>
      </w:tr>
    </w:tbl>
    <w:p w:rsidR="00645B5D" w:rsidRPr="0002147F" w:rsidRDefault="00645B5D" w:rsidP="00645B5D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02147F">
        <w:rPr>
          <w:rFonts w:ascii="PT Astra Serif" w:hAnsi="PT Astra Serif"/>
        </w:rPr>
        <w:t>Исп.: Кулешова Елена Вячеславовна</w:t>
      </w:r>
    </w:p>
    <w:p w:rsidR="00645B5D" w:rsidRPr="0002147F" w:rsidRDefault="00645B5D" w:rsidP="00645B5D">
      <w:pPr>
        <w:widowControl w:val="0"/>
        <w:autoSpaceDE w:val="0"/>
        <w:autoSpaceDN w:val="0"/>
        <w:adjustRightInd w:val="0"/>
        <w:rPr>
          <w:rFonts w:ascii="PT Astra Serif" w:hAnsi="PT Astra Serif"/>
        </w:rPr>
      </w:pPr>
      <w:r w:rsidRPr="0002147F">
        <w:rPr>
          <w:rFonts w:ascii="PT Astra Serif" w:hAnsi="PT Astra Serif"/>
        </w:rPr>
        <w:t>Тел.: 8 (48752) 2-13-03</w:t>
      </w:r>
    </w:p>
    <w:p w:rsidR="00451F8F" w:rsidRPr="00C27EA2" w:rsidRDefault="00451F8F" w:rsidP="00A633B5">
      <w:pPr>
        <w:jc w:val="right"/>
        <w:rPr>
          <w:rFonts w:ascii="PT Astra Serif" w:hAnsi="PT Astra Serif"/>
        </w:rPr>
      </w:pPr>
      <w:r w:rsidRPr="00C27EA2">
        <w:rPr>
          <w:rFonts w:ascii="PT Astra Serif" w:hAnsi="PT Astra Serif"/>
        </w:rPr>
        <w:lastRenderedPageBreak/>
        <w:t>Приложение</w:t>
      </w:r>
    </w:p>
    <w:p w:rsidR="00451F8F" w:rsidRPr="00C27EA2" w:rsidRDefault="00451F8F" w:rsidP="00A633B5">
      <w:pPr>
        <w:pStyle w:val="ConsPlusNormal"/>
        <w:ind w:left="5529" w:firstLine="0"/>
        <w:jc w:val="right"/>
        <w:rPr>
          <w:rFonts w:ascii="PT Astra Serif" w:hAnsi="PT Astra Serif"/>
          <w:sz w:val="24"/>
          <w:szCs w:val="24"/>
        </w:rPr>
      </w:pPr>
      <w:r w:rsidRPr="00C27EA2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451F8F" w:rsidRPr="00C27EA2" w:rsidRDefault="00451F8F" w:rsidP="00A633B5">
      <w:pPr>
        <w:pStyle w:val="ConsPlusNormal"/>
        <w:ind w:left="5529" w:firstLine="0"/>
        <w:jc w:val="right"/>
        <w:rPr>
          <w:rFonts w:ascii="PT Astra Serif" w:hAnsi="PT Astra Serif"/>
          <w:sz w:val="24"/>
          <w:szCs w:val="24"/>
        </w:rPr>
      </w:pPr>
      <w:r w:rsidRPr="00C27EA2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451F8F" w:rsidRPr="00C27EA2" w:rsidRDefault="00451F8F" w:rsidP="00A633B5">
      <w:pPr>
        <w:pStyle w:val="ConsPlusNormal"/>
        <w:ind w:left="5529" w:firstLine="0"/>
        <w:jc w:val="right"/>
        <w:rPr>
          <w:rFonts w:ascii="PT Astra Serif" w:hAnsi="PT Astra Serif"/>
          <w:sz w:val="24"/>
          <w:szCs w:val="24"/>
        </w:rPr>
      </w:pPr>
      <w:r w:rsidRPr="00C27EA2">
        <w:rPr>
          <w:rFonts w:ascii="PT Astra Serif" w:hAnsi="PT Astra Serif"/>
          <w:sz w:val="24"/>
          <w:szCs w:val="24"/>
        </w:rPr>
        <w:t>Пригородное Плавского района</w:t>
      </w:r>
    </w:p>
    <w:p w:rsidR="00451F8F" w:rsidRPr="00C27EA2" w:rsidRDefault="00534076" w:rsidP="00A633B5">
      <w:pPr>
        <w:pStyle w:val="ConsPlusNormal"/>
        <w:ind w:left="5529" w:firstLine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proofErr w:type="gramStart"/>
      <w:r>
        <w:rPr>
          <w:rFonts w:ascii="PT Astra Serif" w:hAnsi="PT Astra Serif"/>
          <w:sz w:val="24"/>
          <w:szCs w:val="24"/>
        </w:rPr>
        <w:t>27</w:t>
      </w:r>
      <w:bookmarkStart w:id="0" w:name="_GoBack"/>
      <w:bookmarkEnd w:id="0"/>
      <w:r w:rsidR="00B36DDD">
        <w:rPr>
          <w:rFonts w:ascii="PT Astra Serif" w:hAnsi="PT Astra Serif"/>
          <w:sz w:val="24"/>
          <w:szCs w:val="24"/>
        </w:rPr>
        <w:t xml:space="preserve">.09.2024  </w:t>
      </w:r>
      <w:r w:rsidR="00451F8F" w:rsidRPr="00C27EA2">
        <w:rPr>
          <w:rFonts w:ascii="PT Astra Serif" w:hAnsi="PT Astra Serif"/>
          <w:sz w:val="24"/>
          <w:szCs w:val="24"/>
        </w:rPr>
        <w:t>№</w:t>
      </w:r>
      <w:proofErr w:type="gramEnd"/>
      <w:r w:rsidR="00451F8F" w:rsidRPr="00C27EA2">
        <w:rPr>
          <w:rFonts w:ascii="PT Astra Serif" w:hAnsi="PT Astra Serif"/>
          <w:sz w:val="24"/>
          <w:szCs w:val="24"/>
        </w:rPr>
        <w:t xml:space="preserve"> </w:t>
      </w:r>
      <w:r w:rsidR="00B36DDD">
        <w:rPr>
          <w:rFonts w:ascii="PT Astra Serif" w:hAnsi="PT Astra Serif"/>
          <w:sz w:val="24"/>
          <w:szCs w:val="24"/>
        </w:rPr>
        <w:t>80</w:t>
      </w:r>
    </w:p>
    <w:p w:rsidR="00451F8F" w:rsidRPr="00C27EA2" w:rsidRDefault="00451F8F" w:rsidP="00451F8F">
      <w:pPr>
        <w:pStyle w:val="ConsPlusNormal"/>
        <w:ind w:left="5529" w:firstLine="2268"/>
        <w:jc w:val="right"/>
        <w:rPr>
          <w:rFonts w:ascii="PT Astra Serif" w:hAnsi="PT Astra Serif"/>
          <w:sz w:val="24"/>
          <w:szCs w:val="24"/>
        </w:rPr>
      </w:pPr>
    </w:p>
    <w:p w:rsidR="00451F8F" w:rsidRPr="00C27EA2" w:rsidRDefault="00451F8F" w:rsidP="00451F8F">
      <w:pPr>
        <w:jc w:val="center"/>
        <w:rPr>
          <w:rFonts w:ascii="PT Astra Serif" w:hAnsi="PT Astra Serif" w:cs="Arial"/>
          <w:b/>
        </w:rPr>
      </w:pPr>
      <w:r w:rsidRPr="00C27EA2">
        <w:rPr>
          <w:rFonts w:ascii="PT Astra Serif" w:hAnsi="PT Astra Serif" w:cs="Arial"/>
          <w:b/>
        </w:rPr>
        <w:t>Муниципальная программа «Обеспечение качественным жильем и услугами жилищно-коммунального хозяйства населения в муниципальном образовании Пригородное Плавского района»</w:t>
      </w:r>
    </w:p>
    <w:p w:rsidR="00451F8F" w:rsidRPr="00C27EA2" w:rsidRDefault="00451F8F" w:rsidP="00451F8F">
      <w:pPr>
        <w:pStyle w:val="ConsPlusNormal"/>
        <w:ind w:left="5529" w:firstLine="2268"/>
        <w:jc w:val="right"/>
        <w:rPr>
          <w:rFonts w:ascii="PT Astra Serif" w:hAnsi="PT Astra Serif"/>
          <w:b/>
          <w:sz w:val="24"/>
          <w:szCs w:val="24"/>
        </w:rPr>
      </w:pPr>
    </w:p>
    <w:p w:rsidR="00451F8F" w:rsidRPr="00C27EA2" w:rsidRDefault="00451F8F" w:rsidP="00BB471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color w:val="000000"/>
        </w:rPr>
      </w:pPr>
      <w:r w:rsidRPr="00C27EA2">
        <w:rPr>
          <w:rFonts w:ascii="PT Astra Serif" w:hAnsi="PT Astra Serif" w:cs="Arial"/>
          <w:color w:val="000000"/>
        </w:rPr>
        <w:t xml:space="preserve">Паспорт муниципальной программы </w:t>
      </w:r>
    </w:p>
    <w:p w:rsidR="00451F8F" w:rsidRPr="00C27EA2" w:rsidRDefault="00451F8F" w:rsidP="00451F8F">
      <w:pPr>
        <w:pStyle w:val="ConsPlusNormal"/>
        <w:ind w:left="5529" w:firstLine="2268"/>
        <w:jc w:val="right"/>
        <w:rPr>
          <w:rFonts w:ascii="PT Astra Serif" w:hAnsi="PT Astra Serif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2"/>
        <w:gridCol w:w="6368"/>
      </w:tblGrid>
      <w:tr w:rsidR="00451F8F" w:rsidRPr="00C27EA2" w:rsidTr="007321C3">
        <w:trPr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5C1223">
            <w:pPr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Ответственный исполнитель программы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BB471D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Администрация</w:t>
            </w:r>
            <w:r w:rsidR="00451F8F" w:rsidRPr="00C27EA2">
              <w:rPr>
                <w:rFonts w:ascii="PT Astra Serif" w:hAnsi="PT Astra Serif" w:cs="Arial"/>
              </w:rPr>
              <w:t xml:space="preserve"> муниципального образования Пригородное Плавского района</w:t>
            </w:r>
          </w:p>
        </w:tc>
      </w:tr>
      <w:tr w:rsidR="00451F8F" w:rsidRPr="00C27EA2" w:rsidTr="007321C3">
        <w:trPr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5C1223">
            <w:pPr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Соисполнители программы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BB471D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  <w:bCs/>
              </w:rPr>
              <w:t>-</w:t>
            </w:r>
          </w:p>
        </w:tc>
      </w:tr>
      <w:tr w:rsidR="00451F8F" w:rsidRPr="00C27EA2" w:rsidTr="007321C3">
        <w:trPr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BB471D" w:rsidP="005C1223">
            <w:pPr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Комплексы процессных мероприятий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8F" w:rsidRPr="00C27EA2" w:rsidRDefault="00331D3A" w:rsidP="007321C3">
            <w:pPr>
              <w:ind w:firstLine="34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1.</w:t>
            </w:r>
            <w:r w:rsidR="002748A0" w:rsidRPr="00C27EA2">
              <w:rPr>
                <w:rFonts w:ascii="PT Astra Serif" w:hAnsi="PT Astra Serif" w:cs="Arial"/>
              </w:rPr>
              <w:t xml:space="preserve"> </w:t>
            </w:r>
            <w:r w:rsidRPr="00C27EA2">
              <w:rPr>
                <w:rFonts w:ascii="PT Astra Serif" w:hAnsi="PT Astra Serif" w:cs="Arial"/>
              </w:rPr>
              <w:t>Содержание муниципального жилого фонда.</w:t>
            </w:r>
          </w:p>
          <w:p w:rsidR="00331D3A" w:rsidRPr="00C27EA2" w:rsidRDefault="00331D3A" w:rsidP="007321C3">
            <w:pPr>
              <w:ind w:firstLine="34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2.</w:t>
            </w:r>
            <w:r w:rsidR="002748A0" w:rsidRPr="00C27EA2">
              <w:rPr>
                <w:rFonts w:ascii="PT Astra Serif" w:hAnsi="PT Astra Serif" w:cs="Arial"/>
              </w:rPr>
              <w:t xml:space="preserve"> </w:t>
            </w:r>
            <w:r w:rsidRPr="00C27EA2">
              <w:rPr>
                <w:rFonts w:ascii="PT Astra Serif" w:hAnsi="PT Astra Serif" w:cs="Arial"/>
              </w:rPr>
              <w:t>Обеспечение резерва материально-технических ресурсов.</w:t>
            </w:r>
          </w:p>
          <w:p w:rsidR="00331D3A" w:rsidRPr="00C27EA2" w:rsidRDefault="00331D3A" w:rsidP="007321C3">
            <w:pPr>
              <w:ind w:firstLine="34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3.</w:t>
            </w:r>
            <w:r w:rsidR="002748A0" w:rsidRPr="00C27EA2">
              <w:rPr>
                <w:rFonts w:ascii="PT Astra Serif" w:hAnsi="PT Astra Serif" w:cs="Arial"/>
              </w:rPr>
              <w:t xml:space="preserve"> </w:t>
            </w:r>
            <w:r w:rsidRPr="00C27EA2">
              <w:rPr>
                <w:rFonts w:ascii="PT Astra Serif" w:hAnsi="PT Astra Serif" w:cs="Arial"/>
              </w:rPr>
              <w:t>Модернизация, текущий и капитальный ремонт объектов коммунальной инфраструктуры, в том числе объектов водо- и теплоснабжения</w:t>
            </w:r>
            <w:r w:rsidR="00AF62A1" w:rsidRPr="00C27EA2">
              <w:rPr>
                <w:rFonts w:ascii="PT Astra Serif" w:hAnsi="PT Astra Serif" w:cs="Arial"/>
              </w:rPr>
              <w:t>, водоотведения и очистки сточных вод.</w:t>
            </w:r>
          </w:p>
        </w:tc>
      </w:tr>
      <w:tr w:rsidR="00451F8F" w:rsidRPr="00C27EA2" w:rsidTr="007321C3">
        <w:trPr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5C1223">
            <w:pPr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7321C3">
            <w:pPr>
              <w:overflowPunct w:val="0"/>
              <w:adjustRightInd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обеспечение бесперебойного тепло-водо- и электроснабжения на объектах жилищно-коммунального хозяйства и оперативная ликвидация возникающих аварийных ситуаций;</w:t>
            </w:r>
          </w:p>
          <w:p w:rsidR="00451F8F" w:rsidRPr="00C27EA2" w:rsidRDefault="00451F8F" w:rsidP="007321C3">
            <w:pPr>
              <w:autoSpaceDE w:val="0"/>
              <w:autoSpaceDN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развитие системы газоснабжения муниципального образования Пригородное Плавского района;</w:t>
            </w:r>
          </w:p>
          <w:p w:rsidR="00451F8F" w:rsidRPr="00C27EA2" w:rsidRDefault="00451F8F" w:rsidP="007321C3">
            <w:pPr>
              <w:overflowPunct w:val="0"/>
              <w:adjustRightInd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обеспечение стабильного (бесперебойного) функционирования газового оборудования, повышение надежности работы газового оборудования и снижение аварийности на объектах газоснабжения, находящихся в собственности муниципального образования Пригородное Плавского района;</w:t>
            </w:r>
          </w:p>
          <w:p w:rsidR="00451F8F" w:rsidRPr="00C27EA2" w:rsidRDefault="00451F8F" w:rsidP="007321C3">
            <w:pPr>
              <w:overflowPunct w:val="0"/>
              <w:adjustRightInd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создание условий для устойчивого и эффективного функционирования жилищно-коммунального комплекса муниципального образования Пригородное Плавского района, отвечающего современным условиям и потребностям населения</w:t>
            </w:r>
          </w:p>
        </w:tc>
      </w:tr>
      <w:tr w:rsidR="00451F8F" w:rsidRPr="00C27EA2" w:rsidTr="007321C3">
        <w:trPr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5C1223">
            <w:pPr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Задачи программы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7321C3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Пригородное Плавского района;</w:t>
            </w:r>
          </w:p>
          <w:p w:rsidR="00451F8F" w:rsidRPr="00C27EA2" w:rsidRDefault="00451F8F" w:rsidP="007321C3">
            <w:pPr>
              <w:autoSpaceDE w:val="0"/>
              <w:autoSpaceDN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развитие системы газоснабжения муниципального образования Пригородное Плавского района;</w:t>
            </w:r>
          </w:p>
          <w:p w:rsidR="00451F8F" w:rsidRPr="00C27EA2" w:rsidRDefault="00451F8F" w:rsidP="007321C3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обеспечение стабильного (бесперебойного) функционирования газового оборудования, повышение надежности работы газового оборудования и снижение аварийности на объектах газоснабжения, находящихся в собственности муниципа</w:t>
            </w:r>
            <w:r w:rsidR="00645B5D" w:rsidRPr="00C27EA2">
              <w:rPr>
                <w:rFonts w:ascii="PT Astra Serif" w:hAnsi="PT Astra Serif" w:cs="Arial"/>
              </w:rPr>
              <w:t xml:space="preserve">льного образования Пригородное </w:t>
            </w:r>
            <w:r w:rsidRPr="00C27EA2">
              <w:rPr>
                <w:rFonts w:ascii="PT Astra Serif" w:hAnsi="PT Astra Serif" w:cs="Arial"/>
              </w:rPr>
              <w:t>Плавского района;</w:t>
            </w:r>
          </w:p>
          <w:p w:rsidR="00451F8F" w:rsidRPr="00C27EA2" w:rsidRDefault="00451F8F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lastRenderedPageBreak/>
              <w:t>- повышение качества обслуживания населения;</w:t>
            </w:r>
          </w:p>
          <w:p w:rsidR="00451F8F" w:rsidRPr="00C27EA2" w:rsidRDefault="00451F8F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совершенствование системы управления жилищно-коммунальным хозяйством муниципального образования Пригородное Плавского района;</w:t>
            </w:r>
          </w:p>
          <w:p w:rsidR="00451F8F" w:rsidRPr="00C27EA2" w:rsidRDefault="00451F8F" w:rsidP="007321C3">
            <w:pPr>
              <w:autoSpaceDE w:val="0"/>
              <w:autoSpaceDN w:val="0"/>
              <w:adjustRightInd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развитие инженерной инфраструктуры в коммунальном хозяйстве;</w:t>
            </w:r>
          </w:p>
          <w:p w:rsidR="00451F8F" w:rsidRPr="00C27EA2" w:rsidRDefault="00451F8F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улучшение качества муниципального жилого фонда, повышение комфортности условий проживания.</w:t>
            </w:r>
          </w:p>
        </w:tc>
      </w:tr>
      <w:tr w:rsidR="00451F8F" w:rsidRPr="00C27EA2" w:rsidTr="007321C3">
        <w:trPr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5C1223">
            <w:pPr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lastRenderedPageBreak/>
              <w:t>Показатели программы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7321C3">
            <w:pPr>
              <w:keepLines/>
              <w:overflowPunct w:val="0"/>
              <w:adjustRightInd w:val="0"/>
              <w:rPr>
                <w:rFonts w:ascii="PT Astra Serif" w:hAnsi="PT Astra Serif" w:cs="Arial"/>
                <w:kern w:val="28"/>
              </w:rPr>
            </w:pPr>
            <w:r w:rsidRPr="00C27EA2">
              <w:rPr>
                <w:rFonts w:ascii="PT Astra Serif" w:hAnsi="PT Astra Serif" w:cs="Arial"/>
                <w:kern w:val="28"/>
              </w:rPr>
              <w:t>Показателями Программы являются:</w:t>
            </w:r>
          </w:p>
          <w:p w:rsidR="00451F8F" w:rsidRPr="00C27EA2" w:rsidRDefault="00451F8F" w:rsidP="007321C3">
            <w:pPr>
              <w:pStyle w:val="ConsPlusNonformat"/>
              <w:snapToGrid w:val="0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- обеспечение граждан, проживающих на радиоактивно загрязненных территориях, устойчивыми источниками водоснабжения и канализаций, %;</w:t>
            </w:r>
          </w:p>
          <w:p w:rsidR="00451F8F" w:rsidRPr="00C27EA2" w:rsidRDefault="00451F8F" w:rsidP="007321C3">
            <w:pPr>
              <w:widowControl w:val="0"/>
              <w:overflowPunct w:val="0"/>
              <w:adjustRightInd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количество объектов газового оборудования, газопроводов и сооружений на них, находящихся на техническом обслуживании, ед.;</w:t>
            </w:r>
          </w:p>
          <w:p w:rsidR="00451F8F" w:rsidRPr="00C27EA2" w:rsidRDefault="00451F8F" w:rsidP="007321C3">
            <w:pPr>
              <w:widowControl w:val="0"/>
              <w:overflowPunct w:val="0"/>
              <w:adjustRightInd w:val="0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доля обеспечения граждан бесперебойным снабжением электро-, тепло-, газо- и водоснабжением, водоотведением, %;</w:t>
            </w:r>
          </w:p>
          <w:p w:rsidR="00451F8F" w:rsidRPr="00C27EA2" w:rsidRDefault="00451F8F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своевременная уплата взносов на капитальный ремонт муниципального жилого фонда, %.</w:t>
            </w:r>
          </w:p>
        </w:tc>
      </w:tr>
      <w:tr w:rsidR="00451F8F" w:rsidRPr="00C27EA2" w:rsidTr="007321C3">
        <w:trPr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5C1223">
            <w:pPr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Этапы и сроки реализации программы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 xml:space="preserve">Муниципальная программа реализуется в один этап: </w:t>
            </w:r>
            <w:r w:rsidR="009312ED" w:rsidRPr="00C27EA2">
              <w:rPr>
                <w:rFonts w:ascii="PT Astra Serif" w:hAnsi="PT Astra Serif" w:cs="Arial"/>
              </w:rPr>
              <w:t>2024</w:t>
            </w:r>
            <w:r w:rsidRPr="00C27EA2">
              <w:rPr>
                <w:rFonts w:ascii="PT Astra Serif" w:hAnsi="PT Astra Serif" w:cs="Arial"/>
              </w:rPr>
              <w:t xml:space="preserve"> –</w:t>
            </w:r>
            <w:r w:rsidR="009312ED" w:rsidRPr="00C27EA2">
              <w:rPr>
                <w:rFonts w:ascii="PT Astra Serif" w:hAnsi="PT Astra Serif" w:cs="Arial"/>
              </w:rPr>
              <w:t xml:space="preserve"> 2028</w:t>
            </w:r>
            <w:r w:rsidRPr="00C27EA2">
              <w:rPr>
                <w:rFonts w:ascii="PT Astra Serif" w:hAnsi="PT Astra Serif" w:cs="Arial"/>
              </w:rPr>
              <w:t xml:space="preserve"> годы</w:t>
            </w:r>
          </w:p>
        </w:tc>
      </w:tr>
      <w:tr w:rsidR="00451F8F" w:rsidRPr="00C27EA2" w:rsidTr="007321C3">
        <w:trPr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5C1223">
            <w:pPr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Объемы бюджетных ассигнований муниципальной программы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Общий объем финансировани</w:t>
            </w:r>
            <w:r w:rsidR="00AF62A1" w:rsidRPr="00C27EA2">
              <w:rPr>
                <w:rFonts w:ascii="PT Astra Serif" w:hAnsi="PT Astra Serif" w:cs="Arial"/>
                <w:sz w:val="24"/>
                <w:szCs w:val="24"/>
              </w:rPr>
              <w:t xml:space="preserve">я муниципальной программы 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в 2024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-202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8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годах составит за счет в</w:t>
            </w:r>
            <w:r w:rsidR="00645B5D" w:rsidRPr="00C27EA2">
              <w:rPr>
                <w:rFonts w:ascii="PT Astra Serif" w:hAnsi="PT Astra Serif" w:cs="Arial"/>
                <w:sz w:val="24"/>
                <w:szCs w:val="24"/>
              </w:rPr>
              <w:t>сех источников финансирования –</w:t>
            </w:r>
            <w:r w:rsidR="001C7201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E0016" w:rsidRPr="00C27EA2">
              <w:rPr>
                <w:rFonts w:ascii="PT Astra Serif" w:hAnsi="PT Astra Serif" w:cs="Arial"/>
                <w:sz w:val="24"/>
                <w:szCs w:val="24"/>
              </w:rPr>
              <w:t>7681,5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тыс. рублей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4D72E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D760D0" w:rsidRPr="00C27EA2">
              <w:rPr>
                <w:rFonts w:ascii="PT Astra Serif" w:hAnsi="PT Astra Serif" w:cs="Arial"/>
                <w:sz w:val="24"/>
                <w:szCs w:val="24"/>
              </w:rPr>
              <w:t>3736,3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AF62A1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</w:t>
            </w:r>
            <w:r w:rsidR="00645B5D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E0016" w:rsidRPr="00C27EA2">
              <w:rPr>
                <w:rFonts w:ascii="PT Astra Serif" w:hAnsi="PT Astra Serif" w:cs="Arial"/>
                <w:sz w:val="24"/>
                <w:szCs w:val="24"/>
              </w:rPr>
              <w:t>986,3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тыс</w:t>
            </w:r>
            <w:r w:rsidR="00645B5D" w:rsidRPr="00C27EA2">
              <w:rPr>
                <w:rFonts w:ascii="PT Astra Serif" w:hAnsi="PT Astra Serif" w:cs="Arial"/>
                <w:sz w:val="24"/>
                <w:szCs w:val="24"/>
              </w:rPr>
              <w:t>.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AF62A1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FE0016" w:rsidRPr="00C27EA2">
              <w:rPr>
                <w:rFonts w:ascii="PT Astra Serif" w:hAnsi="PT Astra Serif" w:cs="Arial"/>
                <w:sz w:val="24"/>
                <w:szCs w:val="24"/>
              </w:rPr>
              <w:t>986,3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645B5D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</w:t>
            </w:r>
            <w:r w:rsidR="00AF62A1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E0016" w:rsidRPr="00C27EA2">
              <w:rPr>
                <w:rFonts w:ascii="PT Astra Serif" w:hAnsi="PT Astra Serif" w:cs="Arial"/>
                <w:sz w:val="24"/>
                <w:szCs w:val="24"/>
              </w:rPr>
              <w:t>986,3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9312ED" w:rsidRPr="00C27EA2" w:rsidRDefault="009312E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2028 год </w:t>
            </w:r>
            <w:r w:rsidR="00FE0016" w:rsidRPr="00C27EA2">
              <w:rPr>
                <w:rFonts w:ascii="PT Astra Serif" w:hAnsi="PT Astra Serif" w:cs="Arial"/>
                <w:sz w:val="24"/>
                <w:szCs w:val="24"/>
              </w:rPr>
              <w:t>–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FE0016" w:rsidRPr="00C27EA2">
              <w:rPr>
                <w:rFonts w:ascii="PT Astra Serif" w:hAnsi="PT Astra Serif" w:cs="Arial"/>
                <w:sz w:val="24"/>
                <w:szCs w:val="24"/>
              </w:rPr>
              <w:t>986,3</w:t>
            </w:r>
            <w:r w:rsidR="004D72EF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из них: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за счет средств бюджета Тульской области – 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AF62A1" w:rsidRPr="00C27EA2"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0 тыс. рублей, в том числе: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AF62A1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AF62A1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9312ED" w:rsidRPr="00C27EA2" w:rsidRDefault="009312E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за </w:t>
            </w:r>
            <w:r w:rsidR="001C7201" w:rsidRPr="00C27EA2">
              <w:rPr>
                <w:rFonts w:ascii="PT Astra Serif" w:hAnsi="PT Astra Serif" w:cs="Arial"/>
                <w:sz w:val="24"/>
                <w:szCs w:val="24"/>
              </w:rPr>
              <w:t xml:space="preserve">счет средств местных бюджетов – </w:t>
            </w:r>
            <w:r w:rsidR="00D760D0" w:rsidRPr="00C27EA2">
              <w:rPr>
                <w:rFonts w:ascii="PT Astra Serif" w:hAnsi="PT Astra Serif" w:cs="Arial"/>
                <w:sz w:val="24"/>
                <w:szCs w:val="24"/>
              </w:rPr>
              <w:t>7434,3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рублей, в том числе:</w:t>
            </w:r>
          </w:p>
          <w:p w:rsidR="00D2799C" w:rsidRPr="00C27EA2" w:rsidRDefault="00D2799C" w:rsidP="00D2799C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2024 год – </w:t>
            </w:r>
            <w:r w:rsidR="00D760D0" w:rsidRPr="00C27EA2">
              <w:rPr>
                <w:rFonts w:ascii="PT Astra Serif" w:hAnsi="PT Astra Serif" w:cs="Arial"/>
                <w:sz w:val="24"/>
                <w:szCs w:val="24"/>
              </w:rPr>
              <w:t>3736,3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D2799C" w:rsidRPr="00C27EA2" w:rsidRDefault="00D2799C" w:rsidP="00D2799C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 год –</w:t>
            </w:r>
            <w:r w:rsidR="00645B5D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924,5 тыс.  рублей;</w:t>
            </w:r>
          </w:p>
          <w:p w:rsidR="00D2799C" w:rsidRPr="00C27EA2" w:rsidRDefault="00645B5D" w:rsidP="00D2799C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 год –</w:t>
            </w:r>
            <w:r w:rsidR="00D2799C" w:rsidRPr="00C27EA2">
              <w:rPr>
                <w:rFonts w:ascii="PT Astra Serif" w:hAnsi="PT Astra Serif" w:cs="Arial"/>
                <w:sz w:val="24"/>
                <w:szCs w:val="24"/>
              </w:rPr>
              <w:t xml:space="preserve"> 924,5 тыс. рублей;</w:t>
            </w:r>
          </w:p>
          <w:p w:rsidR="00D2799C" w:rsidRPr="00C27EA2" w:rsidRDefault="00645B5D" w:rsidP="00D2799C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2027 год – </w:t>
            </w:r>
            <w:r w:rsidR="00D2799C" w:rsidRPr="00C27EA2">
              <w:rPr>
                <w:rFonts w:ascii="PT Astra Serif" w:hAnsi="PT Astra Serif" w:cs="Arial"/>
                <w:sz w:val="24"/>
                <w:szCs w:val="24"/>
              </w:rPr>
              <w:t>924,5 тыс. рублей;</w:t>
            </w:r>
          </w:p>
          <w:p w:rsidR="00D2799C" w:rsidRPr="00C27EA2" w:rsidRDefault="00645B5D" w:rsidP="00D2799C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2028 год - </w:t>
            </w:r>
            <w:r w:rsidR="00D2799C" w:rsidRPr="00C27EA2">
              <w:rPr>
                <w:rFonts w:ascii="PT Astra Serif" w:hAnsi="PT Astra Serif" w:cs="Arial"/>
                <w:sz w:val="24"/>
                <w:szCs w:val="24"/>
              </w:rPr>
              <w:t>924,5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внебюджетных источников – 0,0 тыс. рублей, в том числе:</w:t>
            </w:r>
          </w:p>
          <w:p w:rsidR="00451F8F" w:rsidRPr="00C27EA2" w:rsidRDefault="00AF62A1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42175D" w:rsidRPr="00C27EA2">
              <w:rPr>
                <w:rFonts w:ascii="PT Astra Serif" w:hAnsi="PT Astra Serif" w:cs="Arial"/>
                <w:sz w:val="24"/>
                <w:szCs w:val="24"/>
              </w:rPr>
              <w:t>24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2025 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42175D" w:rsidRPr="00C27EA2">
              <w:rPr>
                <w:rFonts w:ascii="PT Astra Serif" w:hAnsi="PT Astra Serif" w:cs="Arial"/>
                <w:sz w:val="24"/>
                <w:szCs w:val="24"/>
              </w:rPr>
              <w:t>27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9312ED" w:rsidRPr="00C27EA2" w:rsidRDefault="009312E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EB53B0" w:rsidRPr="00C27EA2" w:rsidRDefault="00EB53B0" w:rsidP="00EB53B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lastRenderedPageBreak/>
              <w:t>Комплекс процессных мероприятий  «Содержание муниципального жилого фонда»</w:t>
            </w:r>
          </w:p>
          <w:p w:rsidR="00EB53B0" w:rsidRPr="00C27EA2" w:rsidRDefault="00EB53B0" w:rsidP="00EB53B0">
            <w:pPr>
              <w:snapToGrid w:val="0"/>
              <w:jc w:val="left"/>
              <w:rPr>
                <w:rFonts w:ascii="PT Astra Serif" w:hAnsi="PT Astra Serif" w:cs="Arial"/>
                <w:iCs/>
              </w:rPr>
            </w:pPr>
            <w:r w:rsidRPr="00C27EA2">
              <w:rPr>
                <w:rFonts w:ascii="PT Astra Serif" w:hAnsi="PT Astra Serif" w:cs="Arial"/>
                <w:iCs/>
              </w:rPr>
              <w:t xml:space="preserve">Общий объем финансирования всего: </w:t>
            </w:r>
            <w:r w:rsidR="00B05ABB" w:rsidRPr="00C27EA2">
              <w:rPr>
                <w:rFonts w:ascii="PT Astra Serif" w:hAnsi="PT Astra Serif" w:cs="Arial"/>
                <w:iCs/>
              </w:rPr>
              <w:t>22,5</w:t>
            </w:r>
            <w:r w:rsidRPr="00C27EA2">
              <w:rPr>
                <w:rFonts w:ascii="PT Astra Serif" w:hAnsi="PT Astra Serif" w:cs="Arial"/>
                <w:iCs/>
              </w:rPr>
              <w:t xml:space="preserve">  тыс. рублей, в том числе по годам: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4,5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4,5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EB53B0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4,5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42175D" w:rsidRPr="00C27EA2"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4,5 тыс. рублей;</w:t>
            </w:r>
          </w:p>
          <w:p w:rsidR="009312ED" w:rsidRPr="00C27EA2" w:rsidRDefault="009312E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2028 год -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4,5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средств бюджета Тульской области – 0,0</w:t>
            </w:r>
            <w:r w:rsidRPr="00C27EA2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тыс. рублей, в том числе: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42175D" w:rsidRPr="00C27EA2">
              <w:rPr>
                <w:rFonts w:ascii="PT Astra Serif" w:hAnsi="PT Astra Serif" w:cs="Arial"/>
                <w:sz w:val="24"/>
                <w:szCs w:val="24"/>
              </w:rPr>
              <w:t>025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. рублей;</w:t>
            </w:r>
          </w:p>
          <w:p w:rsidR="009312ED" w:rsidRPr="00C27EA2" w:rsidRDefault="009312E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за счет средств местных бюджетов – </w:t>
            </w:r>
            <w:r w:rsidR="00B05ABB" w:rsidRPr="00C27EA2">
              <w:rPr>
                <w:rFonts w:ascii="PT Astra Serif" w:hAnsi="PT Astra Serif" w:cs="Arial"/>
                <w:sz w:val="24"/>
                <w:szCs w:val="24"/>
              </w:rPr>
              <w:t>22,5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рублей, в том числе: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B05ABB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4,5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B05ABB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4,5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B05ABB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4,5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B05ABB" w:rsidRPr="00C27EA2">
              <w:rPr>
                <w:rFonts w:ascii="PT Astra Serif" w:hAnsi="PT Astra Serif" w:cs="Arial"/>
                <w:sz w:val="24"/>
                <w:szCs w:val="24"/>
              </w:rPr>
              <w:t>4,5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9312ED" w:rsidRPr="00C27EA2" w:rsidRDefault="009312E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2028 год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–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4,5 тыс</w:t>
            </w:r>
            <w:r w:rsidR="004D72EF" w:rsidRPr="00C27EA2">
              <w:rPr>
                <w:rFonts w:ascii="PT Astra Serif" w:hAnsi="PT Astra Serif" w:cs="Arial"/>
                <w:sz w:val="24"/>
                <w:szCs w:val="24"/>
              </w:rPr>
              <w:t xml:space="preserve">.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внебюджетных источников – 0,0 ты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с. рублей, в том числе: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B05ABB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</w:t>
            </w:r>
            <w:r w:rsidR="0042175D" w:rsidRPr="00C27EA2">
              <w:rPr>
                <w:rFonts w:ascii="PT Astra Serif" w:hAnsi="PT Astra Serif" w:cs="Arial"/>
                <w:sz w:val="24"/>
                <w:szCs w:val="24"/>
              </w:rPr>
              <w:t>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9312ED" w:rsidRPr="00C27EA2" w:rsidRDefault="009312E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FE0016" w:rsidRPr="00C27EA2" w:rsidRDefault="00FE0016" w:rsidP="00FE001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Комплекс процессных мероприятий  «Расходы на капитальный ремонт муниципального жилищного фонда»</w:t>
            </w:r>
          </w:p>
          <w:p w:rsidR="00FE0016" w:rsidRPr="00C27EA2" w:rsidRDefault="00FE0016" w:rsidP="00FE0016">
            <w:pPr>
              <w:snapToGrid w:val="0"/>
              <w:jc w:val="left"/>
              <w:rPr>
                <w:rFonts w:ascii="PT Astra Serif" w:hAnsi="PT Astra Serif" w:cs="Arial"/>
                <w:iCs/>
              </w:rPr>
            </w:pPr>
            <w:r w:rsidRPr="00C27EA2">
              <w:rPr>
                <w:rFonts w:ascii="PT Astra Serif" w:hAnsi="PT Astra Serif" w:cs="Arial"/>
                <w:iCs/>
              </w:rPr>
              <w:t>Общий объем финансирования всего: 309,0  тыс. рублей, в том числе по годам: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 год – 61,8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 год – 61,8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 год – 61,8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 год – 61,8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-  61,8 тыс. рублей.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средств бюджета Тульской области – 0,0</w:t>
            </w:r>
            <w:r w:rsidRPr="00C27EA2">
              <w:rPr>
                <w:rFonts w:ascii="PT Astra Serif" w:hAnsi="PT Astra Serif" w:cs="Arial"/>
                <w:color w:val="FF0000"/>
                <w:sz w:val="24"/>
                <w:szCs w:val="24"/>
              </w:rPr>
              <w:t xml:space="preserve"> 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тыс. рублей, в том числе: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 год – 0,0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 год – 0,0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 год – 0,0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 год – 0,0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средств местных бюджетов – 309,0 тыс. рублей, в том числе: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 год – 61,8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 год – 61,8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 год – 61,8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 год – 61,8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lastRenderedPageBreak/>
              <w:t>2028 год -  61,8 тыс. рублей.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внебюджетных источников – 0,0 тыс. рублей, в том числе: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 год – 0,0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 год – 0,0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 год – 0,0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 год – 0,0 тыс. рублей;</w:t>
            </w:r>
          </w:p>
          <w:p w:rsidR="00FE0016" w:rsidRPr="00C27EA2" w:rsidRDefault="00FE0016" w:rsidP="00FE0016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1E542B" w:rsidRPr="00C27EA2" w:rsidRDefault="001E542B" w:rsidP="001E542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Комплекс процессных мероприятий  «Обеспечение резерва материально-технических ресурсов»</w:t>
            </w:r>
          </w:p>
          <w:p w:rsidR="00451F8F" w:rsidRPr="00C27EA2" w:rsidRDefault="001E542B" w:rsidP="001E542B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iCs/>
                <w:sz w:val="24"/>
                <w:szCs w:val="24"/>
              </w:rPr>
              <w:t>Общий об</w:t>
            </w:r>
            <w:r w:rsidR="001C7201" w:rsidRPr="00C27EA2">
              <w:rPr>
                <w:rFonts w:ascii="PT Astra Serif" w:hAnsi="PT Astra Serif" w:cs="Arial"/>
                <w:iCs/>
                <w:sz w:val="24"/>
                <w:szCs w:val="24"/>
              </w:rPr>
              <w:t xml:space="preserve">ъем финансирования всего: </w:t>
            </w:r>
            <w:r w:rsidR="00D760D0" w:rsidRPr="00C27EA2">
              <w:rPr>
                <w:rFonts w:ascii="PT Astra Serif" w:hAnsi="PT Astra Serif" w:cs="Arial"/>
                <w:iCs/>
                <w:sz w:val="24"/>
                <w:szCs w:val="24"/>
              </w:rPr>
              <w:t>1833</w:t>
            </w:r>
            <w:r w:rsidR="001C7201" w:rsidRPr="00C27EA2">
              <w:rPr>
                <w:rFonts w:ascii="PT Astra Serif" w:hAnsi="PT Astra Serif" w:cs="Arial"/>
                <w:iCs/>
                <w:sz w:val="24"/>
                <w:szCs w:val="24"/>
              </w:rPr>
              <w:t>,0</w:t>
            </w:r>
            <w:r w:rsidRPr="00C27EA2">
              <w:rPr>
                <w:rFonts w:ascii="PT Astra Serif" w:hAnsi="PT Astra Serif" w:cs="Arial"/>
                <w:iCs/>
                <w:sz w:val="24"/>
                <w:szCs w:val="24"/>
              </w:rPr>
              <w:t xml:space="preserve">  тыс. рублей, в том числе по годам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D760D0" w:rsidRPr="00C27EA2">
              <w:rPr>
                <w:rFonts w:ascii="PT Astra Serif" w:hAnsi="PT Astra Serif" w:cs="Arial"/>
                <w:sz w:val="24"/>
                <w:szCs w:val="24"/>
              </w:rPr>
              <w:t>63</w:t>
            </w:r>
            <w:r w:rsidR="00FE0016" w:rsidRPr="00C27EA2">
              <w:rPr>
                <w:rFonts w:ascii="PT Astra Serif" w:hAnsi="PT Astra Serif" w:cs="Arial"/>
                <w:sz w:val="24"/>
                <w:szCs w:val="24"/>
              </w:rPr>
              <w:t>3,0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30</w:t>
            </w:r>
            <w:r w:rsidR="001C7201" w:rsidRPr="00C27EA2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- 30</w:t>
            </w:r>
            <w:r w:rsidR="001C7201" w:rsidRPr="00C27EA2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30</w:t>
            </w:r>
            <w:r w:rsidR="001C7201" w:rsidRPr="00C27EA2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блей;</w:t>
            </w:r>
          </w:p>
          <w:p w:rsidR="009312ED" w:rsidRPr="00C27EA2" w:rsidRDefault="009312E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2028 год -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300,0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средств бюджета Тульской области – 0,0 тыс. рублей, в том числе: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1E542B" w:rsidRPr="00C27EA2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</w:t>
            </w:r>
            <w:r w:rsidR="009312ED" w:rsidRPr="00C27EA2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9312ED" w:rsidRPr="00C27EA2" w:rsidRDefault="009312E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за счет средств местных бюджетов – </w:t>
            </w:r>
            <w:r w:rsidR="00D760D0" w:rsidRPr="00C27EA2">
              <w:rPr>
                <w:rFonts w:ascii="PT Astra Serif" w:hAnsi="PT Astra Serif" w:cs="Arial"/>
                <w:sz w:val="24"/>
                <w:szCs w:val="24"/>
              </w:rPr>
              <w:t>1833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,0 тыс. рублей, в том числе: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D760D0" w:rsidRPr="00C27EA2">
              <w:rPr>
                <w:rFonts w:ascii="PT Astra Serif" w:hAnsi="PT Astra Serif" w:cs="Arial"/>
                <w:sz w:val="24"/>
                <w:szCs w:val="24"/>
              </w:rPr>
              <w:t>633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30</w:t>
            </w:r>
            <w:r w:rsidR="001C7201" w:rsidRPr="00C27EA2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30</w:t>
            </w:r>
            <w:r w:rsidR="001C7201" w:rsidRPr="00C27EA2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30</w:t>
            </w:r>
            <w:r w:rsidR="001C7201" w:rsidRPr="00C27EA2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FB6F4B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FB6F4B" w:rsidRPr="00C27EA2" w:rsidRDefault="00FB6F4B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2028 год -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300,0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внебюджетных источников – 0,0 тыс. рублей, в том числе: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</w:t>
            </w:r>
            <w:r w:rsidR="00FB6F4B" w:rsidRPr="00C27EA2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FB6F4B" w:rsidRPr="00C27EA2" w:rsidRDefault="00FB6F4B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1E542B" w:rsidRPr="00C27EA2" w:rsidRDefault="001E542B" w:rsidP="001E542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Комплекс процессных мероприятий  «</w:t>
            </w:r>
            <w:r w:rsidR="004B27D1" w:rsidRPr="00C27EA2">
              <w:rPr>
                <w:rFonts w:ascii="PT Astra Serif" w:hAnsi="PT Astra Serif" w:cs="Arial"/>
              </w:rPr>
      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вод»</w:t>
            </w:r>
          </w:p>
          <w:p w:rsidR="001E542B" w:rsidRPr="00C27EA2" w:rsidRDefault="001E542B" w:rsidP="001E542B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iCs/>
                <w:sz w:val="24"/>
                <w:szCs w:val="24"/>
              </w:rPr>
              <w:t xml:space="preserve">Общий объем финансирования всего: </w:t>
            </w:r>
            <w:r w:rsidR="00D760D0" w:rsidRPr="00C27EA2">
              <w:rPr>
                <w:rFonts w:ascii="PT Astra Serif" w:hAnsi="PT Astra Serif" w:cs="Arial"/>
                <w:iCs/>
                <w:sz w:val="24"/>
                <w:szCs w:val="24"/>
              </w:rPr>
              <w:t>5517</w:t>
            </w:r>
            <w:r w:rsidR="004B27D1" w:rsidRPr="00C27EA2">
              <w:rPr>
                <w:rFonts w:ascii="PT Astra Serif" w:hAnsi="PT Astra Serif" w:cs="Arial"/>
                <w:iCs/>
                <w:sz w:val="24"/>
                <w:szCs w:val="24"/>
              </w:rPr>
              <w:t>,0</w:t>
            </w:r>
            <w:r w:rsidRPr="00C27EA2">
              <w:rPr>
                <w:rFonts w:ascii="PT Astra Serif" w:hAnsi="PT Astra Serif" w:cs="Arial"/>
                <w:iCs/>
                <w:sz w:val="24"/>
                <w:szCs w:val="24"/>
              </w:rPr>
              <w:t xml:space="preserve">  тыс. рублей, в том числе по годам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D760D0" w:rsidRPr="00C27EA2">
              <w:rPr>
                <w:rFonts w:ascii="PT Astra Serif" w:hAnsi="PT Astra Serif" w:cs="Arial"/>
                <w:sz w:val="24"/>
                <w:szCs w:val="24"/>
              </w:rPr>
              <w:t>3037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620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620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>620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>,0 тыс. рублей</w:t>
            </w:r>
            <w:r w:rsidR="00FB6F4B" w:rsidRPr="00C27EA2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FB6F4B" w:rsidRPr="00C27EA2" w:rsidRDefault="00FB6F4B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2028 год -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620,0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за счет средств </w:t>
            </w:r>
            <w:r w:rsidR="004B27D1" w:rsidRPr="00C27EA2">
              <w:rPr>
                <w:rFonts w:ascii="PT Astra Serif" w:hAnsi="PT Astra Serif" w:cs="Arial"/>
                <w:sz w:val="24"/>
                <w:szCs w:val="24"/>
              </w:rPr>
              <w:t>бюджета Тульской области – 0,0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 тыс. рублей, в том числе: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lastRenderedPageBreak/>
              <w:t>2025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</w:t>
            </w:r>
            <w:r w:rsidR="00FB6F4B" w:rsidRPr="00C27EA2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FB6F4B" w:rsidRPr="00C27EA2" w:rsidRDefault="00FB6F4B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средств мест</w:t>
            </w:r>
            <w:r w:rsidR="001C7201" w:rsidRPr="00C27EA2">
              <w:rPr>
                <w:rFonts w:ascii="PT Astra Serif" w:hAnsi="PT Astra Serif" w:cs="Arial"/>
                <w:sz w:val="24"/>
                <w:szCs w:val="24"/>
              </w:rPr>
              <w:t>ных бюджетов –</w:t>
            </w:r>
            <w:r w:rsidR="00D760D0" w:rsidRPr="00C27EA2">
              <w:rPr>
                <w:rFonts w:ascii="PT Astra Serif" w:hAnsi="PT Astra Serif" w:cs="Arial"/>
                <w:sz w:val="24"/>
                <w:szCs w:val="24"/>
              </w:rPr>
              <w:t>5517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,0 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тыс. рублей, в том числе:</w:t>
            </w:r>
          </w:p>
          <w:p w:rsidR="004B27D1" w:rsidRPr="00C27EA2" w:rsidRDefault="004B27D1" w:rsidP="004B27D1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42175D" w:rsidRPr="00C27EA2">
              <w:rPr>
                <w:rFonts w:ascii="PT Astra Serif" w:hAnsi="PT Astra Serif" w:cs="Arial"/>
                <w:sz w:val="24"/>
                <w:szCs w:val="24"/>
              </w:rPr>
              <w:t>4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</w:t>
            </w:r>
            <w:r w:rsidR="00D760D0" w:rsidRPr="00C27EA2">
              <w:rPr>
                <w:rFonts w:ascii="PT Astra Serif" w:hAnsi="PT Astra Serif" w:cs="Arial"/>
                <w:sz w:val="24"/>
                <w:szCs w:val="24"/>
              </w:rPr>
              <w:t>3037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B27D1" w:rsidRPr="00C27EA2" w:rsidRDefault="0042175D" w:rsidP="004B27D1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620</w:t>
            </w:r>
            <w:r w:rsidR="004B27D1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B27D1" w:rsidRPr="00C27EA2" w:rsidRDefault="0042175D" w:rsidP="004B27D1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620</w:t>
            </w:r>
            <w:r w:rsidR="004B27D1" w:rsidRPr="00C27EA2">
              <w:rPr>
                <w:rFonts w:ascii="PT Astra Serif" w:hAnsi="PT Astra Serif" w:cs="Arial"/>
                <w:sz w:val="24"/>
                <w:szCs w:val="24"/>
              </w:rPr>
              <w:t>,0 тыс. рублей;</w:t>
            </w:r>
          </w:p>
          <w:p w:rsidR="004B27D1" w:rsidRPr="00C27EA2" w:rsidRDefault="004B27D1" w:rsidP="004B27D1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</w:t>
            </w:r>
            <w:r w:rsidR="0042175D" w:rsidRPr="00C27EA2"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620</w:t>
            </w:r>
            <w:r w:rsidRPr="00C27EA2">
              <w:rPr>
                <w:rFonts w:ascii="PT Astra Serif" w:hAnsi="PT Astra Serif" w:cs="Arial"/>
                <w:sz w:val="24"/>
                <w:szCs w:val="24"/>
              </w:rPr>
              <w:t>,0 тыс. рублей</w:t>
            </w:r>
            <w:r w:rsidR="00FB6F4B" w:rsidRPr="00C27EA2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FB6F4B" w:rsidRPr="00C27EA2" w:rsidRDefault="00FB6F4B" w:rsidP="004B27D1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 xml:space="preserve">2028 год - </w:t>
            </w:r>
            <w:r w:rsidR="008209C0" w:rsidRPr="00C27EA2">
              <w:rPr>
                <w:rFonts w:ascii="PT Astra Serif" w:hAnsi="PT Astra Serif" w:cs="Arial"/>
                <w:sz w:val="24"/>
                <w:szCs w:val="24"/>
              </w:rPr>
              <w:t xml:space="preserve"> 620,0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за счет внебюджетных источников – 0,0 тыс. рублей, в том числе: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2024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2025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2026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рублей;</w:t>
            </w:r>
          </w:p>
          <w:p w:rsidR="00451F8F" w:rsidRPr="00C27EA2" w:rsidRDefault="0042175D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2027</w:t>
            </w:r>
            <w:r w:rsidR="00451F8F" w:rsidRPr="00C27EA2">
              <w:rPr>
                <w:rFonts w:ascii="PT Astra Serif" w:hAnsi="PT Astra Serif" w:cs="Arial"/>
                <w:sz w:val="24"/>
                <w:szCs w:val="24"/>
              </w:rPr>
              <w:t xml:space="preserve"> год – 0,0 тыс. рублей</w:t>
            </w:r>
            <w:r w:rsidR="00FB6F4B" w:rsidRPr="00C27EA2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FB6F4B" w:rsidRPr="00C27EA2" w:rsidRDefault="00FB6F4B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27EA2">
              <w:rPr>
                <w:rFonts w:ascii="PT Astra Serif" w:hAnsi="PT Astra Serif" w:cs="Arial"/>
                <w:sz w:val="24"/>
                <w:szCs w:val="24"/>
              </w:rPr>
              <w:t>2028 год – 0,0 тыс. рублей.</w:t>
            </w:r>
          </w:p>
          <w:p w:rsidR="00451F8F" w:rsidRPr="00C27EA2" w:rsidRDefault="00451F8F" w:rsidP="007321C3">
            <w:pPr>
              <w:pStyle w:val="ConsPlusCell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451F8F" w:rsidRPr="00C27EA2" w:rsidTr="007321C3">
        <w:trPr>
          <w:jc w:val="center"/>
        </w:trPr>
        <w:tc>
          <w:tcPr>
            <w:tcW w:w="1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8F" w:rsidRPr="00C27EA2" w:rsidRDefault="00451F8F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повышение комфортности проживания граждан, улучшение качества жилищно-коммунальных услуг;</w:t>
            </w:r>
          </w:p>
          <w:p w:rsidR="00451F8F" w:rsidRPr="00C27EA2" w:rsidRDefault="00451F8F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обеспечение надежности и качества работы коммунальных систем в соответствии со стандартами качества за счет увеличения:</w:t>
            </w:r>
          </w:p>
          <w:p w:rsidR="00451F8F" w:rsidRPr="00C27EA2" w:rsidRDefault="00451F8F" w:rsidP="007321C3">
            <w:pPr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- доли вновь построенных, замененных водопроводных сетей от общего количества ветхих водопроводных сетей.</w:t>
            </w:r>
          </w:p>
        </w:tc>
      </w:tr>
    </w:tbl>
    <w:p w:rsidR="00451F8F" w:rsidRPr="00C27EA2" w:rsidRDefault="00451F8F" w:rsidP="00451F8F">
      <w:pPr>
        <w:pStyle w:val="ConsPlusNormal"/>
        <w:ind w:left="5529" w:firstLine="2268"/>
        <w:jc w:val="right"/>
        <w:rPr>
          <w:rFonts w:ascii="PT Astra Serif" w:hAnsi="PT Astra Serif"/>
          <w:sz w:val="24"/>
          <w:szCs w:val="24"/>
        </w:rPr>
      </w:pPr>
    </w:p>
    <w:p w:rsidR="00451F8F" w:rsidRPr="00C27EA2" w:rsidRDefault="00451F8F" w:rsidP="00451F8F">
      <w:pPr>
        <w:jc w:val="center"/>
        <w:rPr>
          <w:rFonts w:ascii="PT Astra Serif" w:hAnsi="PT Astra Serif" w:cs="Arial"/>
        </w:rPr>
      </w:pPr>
      <w:r w:rsidRPr="00C27EA2">
        <w:rPr>
          <w:rFonts w:ascii="PT Astra Serif" w:hAnsi="PT Astra Serif" w:cs="Arial"/>
          <w:b/>
        </w:rPr>
        <w:t>1.Характеристика текущего состояния, основные показатели, основные проблемы жилищно-коммунальной сферы</w:t>
      </w:r>
    </w:p>
    <w:p w:rsidR="00451F8F" w:rsidRPr="00C27EA2" w:rsidRDefault="00451F8F" w:rsidP="00451F8F">
      <w:pPr>
        <w:jc w:val="center"/>
        <w:rPr>
          <w:rFonts w:ascii="PT Astra Serif" w:hAnsi="PT Astra Serif" w:cs="Arial"/>
        </w:rPr>
      </w:pPr>
    </w:p>
    <w:p w:rsidR="00451F8F" w:rsidRPr="00C27EA2" w:rsidRDefault="00451F8F" w:rsidP="00451F8F">
      <w:pPr>
        <w:autoSpaceDE w:val="0"/>
        <w:autoSpaceDN w:val="0"/>
        <w:adjustRightInd w:val="0"/>
        <w:ind w:firstLine="709"/>
        <w:outlineLvl w:val="2"/>
        <w:rPr>
          <w:rFonts w:ascii="PT Astra Serif" w:hAnsi="PT Astra Serif" w:cs="Arial"/>
          <w:bCs/>
        </w:rPr>
      </w:pPr>
      <w:r w:rsidRPr="00C27EA2">
        <w:rPr>
          <w:rFonts w:ascii="PT Astra Serif" w:hAnsi="PT Astra Serif" w:cs="Arial"/>
          <w:bCs/>
        </w:rPr>
        <w:t>В целях обеспечения безопасных и благоприятных условий проживания граждан, повышения качества предоставляемых жилищно-коммунальных услуг гражданам, создания условий для формирования конкурентной среды в сфере управления многоквартирными домами, их содержания и ремонта необходимо стимулирование развития общественного самоуправления в сфере жилищно-коммунального хозяйства путем создания товариществ собственников жилья.</w:t>
      </w:r>
    </w:p>
    <w:p w:rsidR="00451F8F" w:rsidRPr="00C27EA2" w:rsidRDefault="00451F8F" w:rsidP="00451F8F">
      <w:pPr>
        <w:autoSpaceDE w:val="0"/>
        <w:autoSpaceDN w:val="0"/>
        <w:adjustRightInd w:val="0"/>
        <w:ind w:firstLine="709"/>
        <w:outlineLvl w:val="2"/>
        <w:rPr>
          <w:rFonts w:ascii="PT Astra Serif" w:hAnsi="PT Astra Serif" w:cs="Arial"/>
          <w:bCs/>
        </w:rPr>
      </w:pPr>
      <w:r w:rsidRPr="00C27EA2">
        <w:rPr>
          <w:rFonts w:ascii="PT Astra Serif" w:hAnsi="PT Astra Serif" w:cs="Arial"/>
          <w:bCs/>
        </w:rPr>
        <w:t>В настоящее время значительная доля жилищного фонда требует капитального ремонта.</w:t>
      </w:r>
    </w:p>
    <w:p w:rsidR="00451F8F" w:rsidRPr="00C27EA2" w:rsidRDefault="00451F8F" w:rsidP="00451F8F">
      <w:pPr>
        <w:autoSpaceDE w:val="0"/>
        <w:autoSpaceDN w:val="0"/>
        <w:adjustRightInd w:val="0"/>
        <w:ind w:firstLine="709"/>
        <w:outlineLvl w:val="2"/>
        <w:rPr>
          <w:rFonts w:ascii="PT Astra Serif" w:hAnsi="PT Astra Serif" w:cs="Arial"/>
          <w:bCs/>
        </w:rPr>
      </w:pPr>
      <w:r w:rsidRPr="00C27EA2">
        <w:rPr>
          <w:rFonts w:ascii="PT Astra Serif" w:hAnsi="PT Astra Serif" w:cs="Arial"/>
          <w:bCs/>
        </w:rPr>
        <w:t>Причинами возникновения этой проблемы являются:</w:t>
      </w:r>
    </w:p>
    <w:p w:rsidR="00451F8F" w:rsidRPr="00C27EA2" w:rsidRDefault="00451F8F" w:rsidP="00451F8F">
      <w:pPr>
        <w:autoSpaceDE w:val="0"/>
        <w:autoSpaceDN w:val="0"/>
        <w:adjustRightInd w:val="0"/>
        <w:ind w:firstLine="709"/>
        <w:outlineLvl w:val="2"/>
        <w:rPr>
          <w:rFonts w:ascii="PT Astra Serif" w:hAnsi="PT Astra Serif" w:cs="Arial"/>
          <w:bCs/>
        </w:rPr>
      </w:pPr>
      <w:r w:rsidRPr="00C27EA2">
        <w:rPr>
          <w:rFonts w:ascii="PT Astra Serif" w:hAnsi="PT Astra Serif" w:cs="Arial"/>
          <w:bCs/>
        </w:rPr>
        <w:t>- естественное старение домов;</w:t>
      </w:r>
    </w:p>
    <w:p w:rsidR="00451F8F" w:rsidRPr="00C27EA2" w:rsidRDefault="00451F8F" w:rsidP="00451F8F">
      <w:pPr>
        <w:autoSpaceDE w:val="0"/>
        <w:autoSpaceDN w:val="0"/>
        <w:adjustRightInd w:val="0"/>
        <w:ind w:firstLine="709"/>
        <w:outlineLvl w:val="2"/>
        <w:rPr>
          <w:rFonts w:ascii="PT Astra Serif" w:hAnsi="PT Astra Serif" w:cs="Arial"/>
          <w:bCs/>
        </w:rPr>
      </w:pPr>
      <w:r w:rsidRPr="00C27EA2">
        <w:rPr>
          <w:rFonts w:ascii="PT Astra Serif" w:hAnsi="PT Astra Serif" w:cs="Arial"/>
          <w:bCs/>
        </w:rPr>
        <w:t>- недостаточность средств на капитальный ремонт и текущее содержание.</w:t>
      </w:r>
    </w:p>
    <w:p w:rsidR="00451F8F" w:rsidRPr="00C27EA2" w:rsidRDefault="00451F8F" w:rsidP="00451F8F">
      <w:pPr>
        <w:widowControl w:val="0"/>
        <w:autoSpaceDE w:val="0"/>
        <w:autoSpaceDN w:val="0"/>
        <w:adjustRightInd w:val="0"/>
        <w:ind w:firstLine="709"/>
        <w:rPr>
          <w:rFonts w:ascii="PT Astra Serif" w:eastAsia="Calibri" w:hAnsi="PT Astra Serif" w:cs="Arial"/>
        </w:rPr>
      </w:pPr>
      <w:r w:rsidRPr="00C27EA2">
        <w:rPr>
          <w:rFonts w:ascii="PT Astra Serif" w:hAnsi="PT Astra Serif" w:cs="Arial"/>
        </w:rPr>
        <w:t xml:space="preserve">В жилищно-коммунальный комплекс муниципального образования Пригородное Плавского района входят: </w:t>
      </w:r>
      <w:r w:rsidRPr="00C27EA2">
        <w:rPr>
          <w:rFonts w:ascii="PT Astra Serif" w:eastAsia="Calibri" w:hAnsi="PT Astra Serif" w:cs="Arial"/>
        </w:rPr>
        <w:t>котельные, насосные станции, тепловые и водопроводные сети.</w:t>
      </w:r>
    </w:p>
    <w:p w:rsidR="00451F8F" w:rsidRPr="00C27EA2" w:rsidRDefault="00451F8F" w:rsidP="00451F8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Физический износ большинства инженерных сетей составляет более 60%. Из-за высокой степени их износа высока вероятность аварийных ситуаций и возможных ЧС, связанных с нарушением жизнеобеспечения населения.</w:t>
      </w:r>
    </w:p>
    <w:p w:rsidR="00451F8F" w:rsidRPr="00C27EA2" w:rsidRDefault="00451F8F" w:rsidP="00451F8F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Резерв материально-технических ресурсов (аварийный запас) формируется в целях оперативного устранения аварий на объектах жилищно-коммунального хозяйства муниципального образования Пригородное Плавского района, а также для бесперебойного теплоснабжения населения и объектов жизнеобеспечения в течение отопительного периода при временных нарушениях обеспечения их энергоресурсами.</w:t>
      </w:r>
    </w:p>
    <w:p w:rsidR="00451F8F" w:rsidRPr="00C27EA2" w:rsidRDefault="00451F8F" w:rsidP="00451F8F">
      <w:pPr>
        <w:ind w:firstLine="709"/>
        <w:contextualSpacing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lastRenderedPageBreak/>
        <w:t>В результате реализации программы предполагается повысить надежность работы газового оборудования и снизить аварийность на объектах газоснабжения муниципального образования Пригородное Плавского района.</w:t>
      </w:r>
    </w:p>
    <w:p w:rsidR="00451F8F" w:rsidRPr="00C27EA2" w:rsidRDefault="00451F8F" w:rsidP="00451F8F">
      <w:pPr>
        <w:ind w:firstLine="709"/>
        <w:contextualSpacing/>
        <w:rPr>
          <w:rFonts w:ascii="PT Astra Serif" w:hAnsi="PT Astra Serif" w:cs="Arial"/>
        </w:rPr>
      </w:pPr>
    </w:p>
    <w:p w:rsidR="00451F8F" w:rsidRPr="00C27EA2" w:rsidRDefault="00451F8F" w:rsidP="00451F8F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</w:rPr>
      </w:pPr>
      <w:r w:rsidRPr="00C27EA2">
        <w:rPr>
          <w:rFonts w:ascii="PT Astra Serif" w:hAnsi="PT Astra Serif" w:cs="Arial"/>
          <w:b/>
          <w:bCs/>
          <w:color w:val="26282F"/>
        </w:rPr>
        <w:t>2. Цели и задачи Программы</w:t>
      </w:r>
    </w:p>
    <w:p w:rsidR="00451F8F" w:rsidRPr="00C27EA2" w:rsidRDefault="00451F8F" w:rsidP="00451F8F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</w:rPr>
      </w:pPr>
    </w:p>
    <w:p w:rsidR="00451F8F" w:rsidRPr="00C27EA2" w:rsidRDefault="00451F8F" w:rsidP="00451F8F">
      <w:pPr>
        <w:autoSpaceDE w:val="0"/>
        <w:autoSpaceDN w:val="0"/>
        <w:adjustRightInd w:val="0"/>
        <w:ind w:firstLine="720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 xml:space="preserve">Программа разработана в целях реализации на территории муниципального образования Пригородное Плавского района </w:t>
      </w:r>
      <w:hyperlink r:id="rId9" w:history="1">
        <w:r w:rsidRPr="00C27EA2">
          <w:rPr>
            <w:rFonts w:ascii="PT Astra Serif" w:hAnsi="PT Astra Serif" w:cs="Arial"/>
          </w:rPr>
          <w:t>Указа</w:t>
        </w:r>
      </w:hyperlink>
      <w:r w:rsidRPr="00C27EA2">
        <w:rPr>
          <w:rFonts w:ascii="PT Astra Serif" w:hAnsi="PT Astra Serif" w:cs="Arial"/>
        </w:rPr>
        <w:t xml:space="preserve">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:rsidR="00451F8F" w:rsidRPr="00C27EA2" w:rsidRDefault="00451F8F" w:rsidP="00451F8F">
      <w:pPr>
        <w:autoSpaceDE w:val="0"/>
        <w:autoSpaceDN w:val="0"/>
        <w:adjustRightInd w:val="0"/>
        <w:ind w:firstLine="720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Целями Программы являются:</w:t>
      </w:r>
    </w:p>
    <w:p w:rsidR="00451F8F" w:rsidRPr="00C27EA2" w:rsidRDefault="00451F8F" w:rsidP="00451F8F">
      <w:pPr>
        <w:overflowPunct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обеспечение бесперебойного тепло-водо- и электроснабжения на объектах жилищно-коммунального хозяйства и оперативная ликвидация возникающих аварийных ситуаций;</w:t>
      </w:r>
    </w:p>
    <w:p w:rsidR="00451F8F" w:rsidRPr="00C27EA2" w:rsidRDefault="00451F8F" w:rsidP="00451F8F">
      <w:pPr>
        <w:autoSpaceDE w:val="0"/>
        <w:autoSpaceDN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развитие системы газоснабжения муниципального образования Пригородное Плавского района;</w:t>
      </w:r>
    </w:p>
    <w:p w:rsidR="00451F8F" w:rsidRPr="00C27EA2" w:rsidRDefault="00451F8F" w:rsidP="00451F8F">
      <w:pPr>
        <w:overflowPunct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обеспечение стабильного функционирования газового оборудования;</w:t>
      </w:r>
    </w:p>
    <w:p w:rsidR="00451F8F" w:rsidRPr="00C27EA2" w:rsidRDefault="00451F8F" w:rsidP="00451F8F">
      <w:pPr>
        <w:overflowPunct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создание условий для устойчивого и эффективного функционирования жилищно-коммунального комплекса муниципального образования Пригородное Плавского района, отвечающего современным условиям и потребностям населения;</w:t>
      </w:r>
    </w:p>
    <w:p w:rsidR="00451F8F" w:rsidRPr="00C27EA2" w:rsidRDefault="00451F8F" w:rsidP="00451F8F">
      <w:pPr>
        <w:overflowPunct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обеспечение комфортного проживания граждан.</w:t>
      </w:r>
    </w:p>
    <w:p w:rsidR="00451F8F" w:rsidRPr="00C27EA2" w:rsidRDefault="00451F8F" w:rsidP="00451F8F">
      <w:pPr>
        <w:overflowPunct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Задачами Программы являются:</w:t>
      </w:r>
    </w:p>
    <w:p w:rsidR="00451F8F" w:rsidRPr="00C27EA2" w:rsidRDefault="00451F8F" w:rsidP="00451F8F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снижение социально-экономического ущерба от возможного возникновения чрезвычайных ситуаций и аварий на объектах жилищно-коммунального хозяйства муниципального образования Пригородное Плавского района;</w:t>
      </w:r>
    </w:p>
    <w:p w:rsidR="00451F8F" w:rsidRPr="00C27EA2" w:rsidRDefault="00451F8F" w:rsidP="00451F8F">
      <w:pPr>
        <w:autoSpaceDE w:val="0"/>
        <w:autoSpaceDN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развитие системы газоснабжения муниципального образования Пригородное Плавского района;</w:t>
      </w:r>
    </w:p>
    <w:p w:rsidR="00451F8F" w:rsidRPr="00C27EA2" w:rsidRDefault="00451F8F" w:rsidP="00451F8F">
      <w:pPr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повышение качества обслуживания населения;</w:t>
      </w:r>
    </w:p>
    <w:p w:rsidR="00451F8F" w:rsidRPr="00C27EA2" w:rsidRDefault="00451F8F" w:rsidP="00451F8F">
      <w:pPr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совершенствование системы управления жилищно-коммунальным хозяйством муниципального образования Пригородное Плавского района;</w:t>
      </w:r>
    </w:p>
    <w:p w:rsidR="00451F8F" w:rsidRPr="00C27EA2" w:rsidRDefault="00451F8F" w:rsidP="00451F8F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развитие инженерной инфраструктуры в коммунальном хозяйстве;</w:t>
      </w:r>
    </w:p>
    <w:p w:rsidR="00451F8F" w:rsidRPr="00C27EA2" w:rsidRDefault="00451F8F" w:rsidP="00451F8F">
      <w:pPr>
        <w:autoSpaceDE w:val="0"/>
        <w:autoSpaceDN w:val="0"/>
        <w:adjustRightInd w:val="0"/>
        <w:ind w:firstLine="709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- улучшение качества муниципального жилого фонда, повышение комфортности условий проживания.</w:t>
      </w:r>
    </w:p>
    <w:p w:rsidR="00451F8F" w:rsidRPr="00C27EA2" w:rsidRDefault="00451F8F" w:rsidP="00451F8F">
      <w:pPr>
        <w:autoSpaceDE w:val="0"/>
        <w:autoSpaceDN w:val="0"/>
        <w:adjustRightInd w:val="0"/>
        <w:ind w:firstLine="720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Развитие систем инженерной инфраструктуры муниципальных образований поселений будет осуществляться на основе программ комплексного развития,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инженерной инфраструктуры.</w:t>
      </w:r>
    </w:p>
    <w:p w:rsidR="00451F8F" w:rsidRPr="00C27EA2" w:rsidRDefault="00451F8F" w:rsidP="00451F8F">
      <w:pPr>
        <w:autoSpaceDE w:val="0"/>
        <w:autoSpaceDN w:val="0"/>
        <w:adjustRightInd w:val="0"/>
        <w:ind w:firstLine="720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ситуации, повышение производительности труда вследствие лучшей доступности мест приложения труда, увеличение миграционной подвижности населения, снижение социальной напряженности в обществе.</w:t>
      </w:r>
    </w:p>
    <w:p w:rsidR="00451F8F" w:rsidRPr="00C27EA2" w:rsidRDefault="00451F8F" w:rsidP="00451F8F">
      <w:pPr>
        <w:autoSpaceDE w:val="0"/>
        <w:autoSpaceDN w:val="0"/>
        <w:adjustRightInd w:val="0"/>
        <w:jc w:val="center"/>
        <w:rPr>
          <w:rFonts w:ascii="PT Astra Serif" w:hAnsi="PT Astra Serif" w:cs="Arial"/>
        </w:rPr>
      </w:pPr>
    </w:p>
    <w:p w:rsidR="00451F8F" w:rsidRPr="00C27EA2" w:rsidRDefault="00451F8F" w:rsidP="00451F8F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</w:rPr>
      </w:pPr>
      <w:bookmarkStart w:id="1" w:name="sub_1300"/>
      <w:r w:rsidRPr="00C27EA2">
        <w:rPr>
          <w:rFonts w:ascii="PT Astra Serif" w:hAnsi="PT Astra Serif" w:cs="Arial"/>
          <w:b/>
          <w:bCs/>
          <w:color w:val="26282F"/>
        </w:rPr>
        <w:t>3. Этапы и сроки реализации Программы</w:t>
      </w:r>
    </w:p>
    <w:p w:rsidR="00451F8F" w:rsidRPr="00C27EA2" w:rsidRDefault="00451F8F" w:rsidP="00451F8F">
      <w:pPr>
        <w:autoSpaceDE w:val="0"/>
        <w:autoSpaceDN w:val="0"/>
        <w:adjustRightInd w:val="0"/>
        <w:jc w:val="center"/>
        <w:outlineLvl w:val="0"/>
        <w:rPr>
          <w:rFonts w:ascii="PT Astra Serif" w:hAnsi="PT Astra Serif" w:cs="Arial"/>
          <w:b/>
          <w:bCs/>
          <w:color w:val="26282F"/>
        </w:rPr>
      </w:pPr>
    </w:p>
    <w:bookmarkEnd w:id="1"/>
    <w:p w:rsidR="00451F8F" w:rsidRPr="00C27EA2" w:rsidRDefault="00451F8F" w:rsidP="002748A0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</w:rPr>
      </w:pPr>
      <w:r w:rsidRPr="00C27EA2">
        <w:rPr>
          <w:rFonts w:ascii="PT Astra Serif" w:hAnsi="PT Astra Serif" w:cs="Arial"/>
        </w:rPr>
        <w:t>Программа реализуется в о</w:t>
      </w:r>
      <w:r w:rsidR="008209C0" w:rsidRPr="00C27EA2">
        <w:rPr>
          <w:rFonts w:ascii="PT Astra Serif" w:hAnsi="PT Astra Serif" w:cs="Arial"/>
        </w:rPr>
        <w:t>дин этап: 2024-2028</w:t>
      </w:r>
      <w:r w:rsidRPr="00C27EA2">
        <w:rPr>
          <w:rFonts w:ascii="PT Astra Serif" w:hAnsi="PT Astra Serif" w:cs="Arial"/>
        </w:rPr>
        <w:t xml:space="preserve"> годы.</w:t>
      </w:r>
    </w:p>
    <w:p w:rsidR="00451F8F" w:rsidRPr="00C27EA2" w:rsidRDefault="00451F8F" w:rsidP="00645B5D">
      <w:pPr>
        <w:rPr>
          <w:rFonts w:ascii="PT Astra Serif" w:hAnsi="PT Astra Serif" w:cs="Arial"/>
        </w:rPr>
      </w:pPr>
    </w:p>
    <w:p w:rsidR="00451F8F" w:rsidRPr="00C27EA2" w:rsidRDefault="002748A0" w:rsidP="00451F8F">
      <w:pPr>
        <w:pStyle w:val="ConsPlusCell"/>
        <w:jc w:val="center"/>
        <w:rPr>
          <w:rFonts w:ascii="PT Astra Serif" w:hAnsi="PT Astra Serif" w:cs="Arial"/>
          <w:b/>
          <w:color w:val="000000"/>
          <w:sz w:val="24"/>
          <w:szCs w:val="24"/>
        </w:rPr>
      </w:pPr>
      <w:r w:rsidRPr="00C27EA2">
        <w:rPr>
          <w:rFonts w:ascii="PT Astra Serif" w:hAnsi="PT Astra Serif" w:cs="Arial"/>
          <w:b/>
          <w:color w:val="000000"/>
          <w:sz w:val="24"/>
          <w:szCs w:val="24"/>
        </w:rPr>
        <w:t>4</w:t>
      </w:r>
      <w:r w:rsidR="00451F8F" w:rsidRPr="00C27EA2">
        <w:rPr>
          <w:rFonts w:ascii="PT Astra Serif" w:hAnsi="PT Astra Serif" w:cs="Arial"/>
          <w:b/>
          <w:color w:val="000000"/>
          <w:sz w:val="24"/>
          <w:szCs w:val="24"/>
        </w:rPr>
        <w:t>. Основные меры правового регулирования, направленные на достижение целей и задач Программы</w:t>
      </w:r>
    </w:p>
    <w:p w:rsidR="00451F8F" w:rsidRPr="00C27EA2" w:rsidRDefault="00451F8F" w:rsidP="00451F8F">
      <w:pPr>
        <w:pStyle w:val="ConsPlusCell"/>
        <w:jc w:val="center"/>
        <w:rPr>
          <w:rFonts w:ascii="PT Astra Serif" w:hAnsi="PT Astra Serif" w:cs="Arial"/>
          <w:b/>
          <w:color w:val="000000"/>
          <w:sz w:val="24"/>
          <w:szCs w:val="24"/>
        </w:rPr>
      </w:pPr>
    </w:p>
    <w:p w:rsidR="00451F8F" w:rsidRPr="00C27EA2" w:rsidRDefault="00451F8F" w:rsidP="00451F8F">
      <w:pPr>
        <w:pStyle w:val="a6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color w:val="000000"/>
          <w:bdr w:val="none" w:sz="0" w:space="0" w:color="auto" w:frame="1"/>
        </w:rPr>
      </w:pPr>
      <w:r w:rsidRPr="00C27EA2">
        <w:rPr>
          <w:rFonts w:ascii="PT Astra Serif" w:hAnsi="PT Astra Serif" w:cs="Arial"/>
          <w:color w:val="000000"/>
          <w:bdr w:val="none" w:sz="0" w:space="0" w:color="auto" w:frame="1"/>
        </w:rPr>
        <w:lastRenderedPageBreak/>
        <w:t>Меры правового регулирования муниципальной Программы включают ежегодное принятие необходимых нормативных правовых актов, выполнение мероприятий по совершенствованию нормативной правовой базы и внесение изменений в действующие нормативно-правовые акты, связанные с механизмом реализации мероприятий Программы.</w:t>
      </w:r>
    </w:p>
    <w:p w:rsidR="00451F8F" w:rsidRPr="00C27EA2" w:rsidRDefault="00451F8F" w:rsidP="00451F8F">
      <w:pPr>
        <w:jc w:val="center"/>
        <w:rPr>
          <w:rFonts w:ascii="PT Astra Serif" w:hAnsi="PT Astra Serif" w:cs="Arial"/>
        </w:rPr>
      </w:pPr>
    </w:p>
    <w:p w:rsidR="00451F8F" w:rsidRPr="00C27EA2" w:rsidRDefault="002748A0" w:rsidP="00451F8F">
      <w:pPr>
        <w:pStyle w:val="ConsPlusCell"/>
        <w:jc w:val="center"/>
        <w:rPr>
          <w:rFonts w:ascii="PT Astra Serif" w:hAnsi="PT Astra Serif" w:cs="Arial"/>
          <w:b/>
          <w:color w:val="000000"/>
          <w:sz w:val="24"/>
          <w:szCs w:val="24"/>
        </w:rPr>
      </w:pPr>
      <w:r w:rsidRPr="00C27EA2">
        <w:rPr>
          <w:rFonts w:ascii="PT Astra Serif" w:hAnsi="PT Astra Serif" w:cs="Arial"/>
          <w:b/>
          <w:color w:val="000000"/>
          <w:sz w:val="24"/>
          <w:szCs w:val="24"/>
        </w:rPr>
        <w:t>5</w:t>
      </w:r>
      <w:r w:rsidR="00451F8F" w:rsidRPr="00C27EA2">
        <w:rPr>
          <w:rFonts w:ascii="PT Astra Serif" w:hAnsi="PT Astra Serif" w:cs="Arial"/>
          <w:b/>
          <w:color w:val="000000"/>
          <w:sz w:val="24"/>
          <w:szCs w:val="24"/>
        </w:rPr>
        <w:t xml:space="preserve">. Социально- экономическая эффективность и анализ рисков в ходе реализации </w:t>
      </w:r>
      <w:r w:rsidR="00451F8F" w:rsidRPr="00C27EA2">
        <w:rPr>
          <w:rFonts w:ascii="PT Astra Serif" w:hAnsi="PT Astra Serif" w:cs="Arial"/>
          <w:b/>
          <w:bCs/>
          <w:color w:val="000000"/>
          <w:sz w:val="24"/>
          <w:szCs w:val="24"/>
        </w:rPr>
        <w:t>П</w:t>
      </w:r>
      <w:r w:rsidR="00451F8F" w:rsidRPr="00C27EA2">
        <w:rPr>
          <w:rFonts w:ascii="PT Astra Serif" w:hAnsi="PT Astra Serif" w:cs="Arial"/>
          <w:b/>
          <w:color w:val="000000"/>
          <w:sz w:val="24"/>
          <w:szCs w:val="24"/>
        </w:rPr>
        <w:t xml:space="preserve">рограммы </w:t>
      </w:r>
    </w:p>
    <w:p w:rsidR="00451F8F" w:rsidRPr="00C27EA2" w:rsidRDefault="00451F8F" w:rsidP="00451F8F">
      <w:pPr>
        <w:pStyle w:val="ConsPlusCell"/>
        <w:jc w:val="center"/>
        <w:rPr>
          <w:rFonts w:ascii="PT Astra Serif" w:hAnsi="PT Astra Serif" w:cs="Arial"/>
          <w:b/>
          <w:color w:val="000000"/>
          <w:sz w:val="24"/>
          <w:szCs w:val="24"/>
        </w:rPr>
      </w:pPr>
    </w:p>
    <w:p w:rsidR="00451F8F" w:rsidRPr="00C27EA2" w:rsidRDefault="00451F8F" w:rsidP="00451F8F">
      <w:pPr>
        <w:ind w:firstLine="709"/>
        <w:rPr>
          <w:rFonts w:ascii="PT Astra Serif" w:hAnsi="PT Astra Serif" w:cs="Arial"/>
          <w:color w:val="000000"/>
        </w:rPr>
      </w:pPr>
      <w:r w:rsidRPr="00C27EA2">
        <w:rPr>
          <w:rFonts w:ascii="PT Astra Serif" w:hAnsi="PT Astra Serif" w:cs="Arial"/>
          <w:color w:val="000000"/>
        </w:rPr>
        <w:t>Возможными рисками в ходе реализации Программы могут быть следующие факторы:</w:t>
      </w:r>
    </w:p>
    <w:p w:rsidR="00451F8F" w:rsidRPr="00C27EA2" w:rsidRDefault="00451F8F" w:rsidP="00451F8F">
      <w:pPr>
        <w:ind w:firstLine="709"/>
        <w:rPr>
          <w:rFonts w:ascii="PT Astra Serif" w:hAnsi="PT Astra Serif" w:cs="Arial"/>
          <w:color w:val="000000"/>
        </w:rPr>
      </w:pPr>
      <w:r w:rsidRPr="00C27EA2">
        <w:rPr>
          <w:rFonts w:ascii="PT Astra Serif" w:hAnsi="PT Astra Serif" w:cs="Arial"/>
          <w:color w:val="000000"/>
        </w:rPr>
        <w:t>- несвоевременность и недостаточность объемов финансирования из бюджетов всех уровней;</w:t>
      </w:r>
    </w:p>
    <w:p w:rsidR="00451F8F" w:rsidRPr="00C27EA2" w:rsidRDefault="00451F8F" w:rsidP="00451F8F">
      <w:pPr>
        <w:ind w:firstLine="709"/>
        <w:rPr>
          <w:rFonts w:ascii="PT Astra Serif" w:hAnsi="PT Astra Serif" w:cs="Arial"/>
          <w:color w:val="000000"/>
        </w:rPr>
      </w:pPr>
      <w:r w:rsidRPr="00C27EA2">
        <w:rPr>
          <w:rFonts w:ascii="PT Astra Serif" w:hAnsi="PT Astra Serif" w:cs="Arial"/>
          <w:color w:val="000000"/>
        </w:rPr>
        <w:t>- поставка некачественного оборудования, материалов, связанная с нарушением обязательств поставщиками;</w:t>
      </w:r>
    </w:p>
    <w:p w:rsidR="00451F8F" w:rsidRPr="00C27EA2" w:rsidRDefault="00451F8F" w:rsidP="00451F8F">
      <w:pPr>
        <w:ind w:firstLine="709"/>
        <w:rPr>
          <w:rFonts w:ascii="PT Astra Serif" w:hAnsi="PT Astra Serif" w:cs="Arial"/>
          <w:color w:val="000000"/>
        </w:rPr>
      </w:pPr>
      <w:r w:rsidRPr="00C27EA2">
        <w:rPr>
          <w:rFonts w:ascii="PT Astra Serif" w:hAnsi="PT Astra Serif" w:cs="Arial"/>
          <w:color w:val="000000"/>
        </w:rPr>
        <w:t>- несвоевременное и некачественное выполнение исполнителями своих обязательств, предусмотренных муниципальным контрактом.</w:t>
      </w:r>
    </w:p>
    <w:p w:rsidR="00451F8F" w:rsidRPr="00C27EA2" w:rsidRDefault="00451F8F" w:rsidP="00451F8F">
      <w:pPr>
        <w:ind w:firstLine="709"/>
        <w:rPr>
          <w:rFonts w:ascii="PT Astra Serif" w:hAnsi="PT Astra Serif" w:cs="Arial"/>
          <w:color w:val="000000"/>
        </w:rPr>
      </w:pPr>
      <w:r w:rsidRPr="00C27EA2">
        <w:rPr>
          <w:rFonts w:ascii="PT Astra Serif" w:hAnsi="PT Astra Serif" w:cs="Arial"/>
          <w:color w:val="000000"/>
        </w:rPr>
        <w:t>В целях минимизации указанных рисков в процессе реализации Программы предусматриваются:</w:t>
      </w:r>
    </w:p>
    <w:p w:rsidR="00451F8F" w:rsidRPr="00C27EA2" w:rsidRDefault="00451F8F" w:rsidP="00451F8F">
      <w:pPr>
        <w:ind w:firstLine="709"/>
        <w:rPr>
          <w:rFonts w:ascii="PT Astra Serif" w:hAnsi="PT Astra Serif" w:cs="Arial"/>
          <w:color w:val="000000"/>
        </w:rPr>
      </w:pPr>
      <w:r w:rsidRPr="00C27EA2">
        <w:rPr>
          <w:rFonts w:ascii="PT Astra Serif" w:hAnsi="PT Astra Serif" w:cs="Arial"/>
          <w:color w:val="000000"/>
        </w:rPr>
        <w:t>- мониторинг выполнения Программы, регулярный анализ и при необходимости корректировка мероприятий Программы;</w:t>
      </w:r>
    </w:p>
    <w:p w:rsidR="00451F8F" w:rsidRPr="00C27EA2" w:rsidRDefault="00451F8F" w:rsidP="00451F8F">
      <w:pPr>
        <w:ind w:firstLine="709"/>
        <w:rPr>
          <w:rFonts w:ascii="PT Astra Serif" w:hAnsi="PT Astra Serif" w:cs="Arial"/>
          <w:color w:val="000000"/>
        </w:rPr>
      </w:pPr>
      <w:r w:rsidRPr="00C27EA2">
        <w:rPr>
          <w:rFonts w:ascii="PT Astra Serif" w:hAnsi="PT Astra Serif" w:cs="Arial"/>
          <w:color w:val="000000"/>
        </w:rPr>
        <w:t>- перераспределение объемов финансирования в зависимости от динамики решения задач, а также выделенного объема финансирования за счет средств бюджета области и бюджета муниципального образования Пригородное Плавского района.</w:t>
      </w:r>
    </w:p>
    <w:p w:rsidR="00451F8F" w:rsidRPr="00C27EA2" w:rsidRDefault="00451F8F" w:rsidP="00451F8F">
      <w:pPr>
        <w:jc w:val="center"/>
        <w:rPr>
          <w:rFonts w:ascii="PT Astra Serif" w:hAnsi="PT Astra Serif" w:cs="Arial"/>
          <w:color w:val="000000"/>
        </w:rPr>
      </w:pPr>
    </w:p>
    <w:p w:rsidR="00451F8F" w:rsidRPr="00C27EA2" w:rsidRDefault="002748A0" w:rsidP="00451F8F">
      <w:pPr>
        <w:pStyle w:val="ConsPlusCell"/>
        <w:jc w:val="center"/>
        <w:rPr>
          <w:rFonts w:ascii="PT Astra Serif" w:hAnsi="PT Astra Serif" w:cs="Arial"/>
          <w:b/>
          <w:color w:val="000000"/>
          <w:sz w:val="24"/>
          <w:szCs w:val="24"/>
        </w:rPr>
      </w:pPr>
      <w:r w:rsidRPr="00C27EA2">
        <w:rPr>
          <w:rFonts w:ascii="PT Astra Serif" w:hAnsi="PT Astra Serif" w:cs="Arial"/>
          <w:b/>
          <w:color w:val="000000"/>
          <w:sz w:val="24"/>
          <w:szCs w:val="24"/>
        </w:rPr>
        <w:t>6</w:t>
      </w:r>
      <w:r w:rsidR="00451F8F" w:rsidRPr="00C27EA2">
        <w:rPr>
          <w:rFonts w:ascii="PT Astra Serif" w:hAnsi="PT Astra Serif" w:cs="Arial"/>
          <w:b/>
          <w:color w:val="000000"/>
          <w:sz w:val="24"/>
          <w:szCs w:val="24"/>
        </w:rPr>
        <w:t>. Ресурсное обеспечение Программы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1108"/>
        <w:gridCol w:w="967"/>
        <w:gridCol w:w="968"/>
        <w:gridCol w:w="829"/>
        <w:gridCol w:w="968"/>
        <w:gridCol w:w="829"/>
        <w:gridCol w:w="993"/>
      </w:tblGrid>
      <w:tr w:rsidR="00A11292" w:rsidRPr="00C27EA2" w:rsidTr="00E74145">
        <w:trPr>
          <w:jc w:val="center"/>
        </w:trPr>
        <w:tc>
          <w:tcPr>
            <w:tcW w:w="15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 w:rsidRPr="00C27EA2">
              <w:rPr>
                <w:rFonts w:ascii="PT Astra Serif" w:hAnsi="PT Astra Serif"/>
                <w:color w:val="000000"/>
              </w:rPr>
              <w:t>Наименование ресурсов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 w:rsidRPr="00C27EA2">
              <w:rPr>
                <w:rFonts w:ascii="PT Astra Serif" w:hAnsi="PT Astra Serif"/>
                <w:color w:val="000000"/>
              </w:rPr>
              <w:t>Ед. изм.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Всего</w:t>
            </w:r>
          </w:p>
        </w:tc>
        <w:tc>
          <w:tcPr>
            <w:tcW w:w="2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В том числе по годам реализации</w:t>
            </w:r>
          </w:p>
        </w:tc>
      </w:tr>
      <w:tr w:rsidR="00A11292" w:rsidRPr="00C27EA2" w:rsidTr="00E74145">
        <w:trPr>
          <w:jc w:val="center"/>
        </w:trPr>
        <w:tc>
          <w:tcPr>
            <w:tcW w:w="151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8209C0" w:rsidP="007321C3">
            <w:pPr>
              <w:pStyle w:val="a8"/>
              <w:ind w:right="4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2024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8209C0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2025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8209C0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2026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8209C0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2027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D4" w:rsidRPr="00C27EA2" w:rsidRDefault="008209C0" w:rsidP="00AC73D4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2028</w:t>
            </w:r>
          </w:p>
        </w:tc>
      </w:tr>
      <w:tr w:rsidR="00A11292" w:rsidRPr="00C27EA2" w:rsidTr="00E74145">
        <w:trPr>
          <w:jc w:val="center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7EA2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ресурсы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 w:rsidRPr="00C27EA2">
              <w:rPr>
                <w:rFonts w:ascii="PT Astra Serif" w:hAnsi="PT Astra Serif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E74145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7681,5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D760D0" w:rsidP="00FE0016">
            <w:pPr>
              <w:pStyle w:val="a8"/>
              <w:ind w:right="48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3736,</w:t>
            </w:r>
            <w:r w:rsidR="00FE0016" w:rsidRPr="00C27EA2">
              <w:rPr>
                <w:rFonts w:ascii="PT Astra Serif" w:hAnsi="PT Astra Serif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FE0016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FE0016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FE0016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</w:p>
          <w:p w:rsidR="00AC73D4" w:rsidRPr="00C27EA2" w:rsidRDefault="00FE0016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  <w:p w:rsidR="00AC73D4" w:rsidRPr="00C27EA2" w:rsidRDefault="00AC73D4" w:rsidP="007321C3">
            <w:pPr>
              <w:pStyle w:val="a8"/>
              <w:rPr>
                <w:rFonts w:ascii="PT Astra Serif" w:hAnsi="PT Astra Serif"/>
              </w:rPr>
            </w:pPr>
          </w:p>
        </w:tc>
      </w:tr>
      <w:tr w:rsidR="00A11292" w:rsidRPr="00C27EA2" w:rsidTr="00E74145">
        <w:trPr>
          <w:jc w:val="center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7EA2">
              <w:rPr>
                <w:rFonts w:ascii="PT Astra Serif" w:hAnsi="PT Astra Serif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ind w:right="4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rPr>
                <w:rFonts w:ascii="PT Astra Serif" w:hAnsi="PT Astra Serif"/>
                <w:color w:val="000000"/>
              </w:rPr>
            </w:pPr>
          </w:p>
        </w:tc>
      </w:tr>
      <w:tr w:rsidR="00A11292" w:rsidRPr="00C27EA2" w:rsidTr="00E74145">
        <w:trPr>
          <w:jc w:val="center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7EA2">
              <w:rPr>
                <w:rFonts w:ascii="PT Astra Serif" w:hAnsi="PT Astra Serif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 w:rsidRPr="00C27EA2">
              <w:rPr>
                <w:rFonts w:ascii="PT Astra Serif" w:hAnsi="PT Astra Serif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ind w:right="4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</w:p>
        </w:tc>
      </w:tr>
      <w:tr w:rsidR="00A11292" w:rsidRPr="00C27EA2" w:rsidTr="00E74145">
        <w:trPr>
          <w:jc w:val="center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7EA2">
              <w:rPr>
                <w:rFonts w:ascii="PT Astra Serif" w:hAnsi="PT Astra Serif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 w:rsidRPr="00C27EA2">
              <w:rPr>
                <w:rFonts w:ascii="PT Astra Serif" w:hAnsi="PT Astra Serif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ind w:right="4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</w:p>
        </w:tc>
      </w:tr>
      <w:tr w:rsidR="00E74145" w:rsidRPr="00C27EA2" w:rsidTr="00E74145">
        <w:trPr>
          <w:jc w:val="center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5" w:rsidRPr="00C27EA2" w:rsidRDefault="00E74145" w:rsidP="007321C3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7EA2">
              <w:rPr>
                <w:rFonts w:ascii="PT Astra Serif" w:hAnsi="PT Astra Serif"/>
                <w:color w:val="000000"/>
                <w:sz w:val="24"/>
                <w:szCs w:val="24"/>
              </w:rPr>
              <w:t>Собственные средства бюджета МО Пригородное Плавского района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5" w:rsidRPr="00C27EA2" w:rsidRDefault="00E74145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 w:rsidRPr="00C27EA2">
              <w:rPr>
                <w:rFonts w:ascii="PT Astra Serif" w:hAnsi="PT Astra Serif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5" w:rsidRPr="00C27EA2" w:rsidRDefault="00E74145" w:rsidP="00FD4360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7681,5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5" w:rsidRPr="00C27EA2" w:rsidRDefault="00E74145" w:rsidP="00FD4360">
            <w:pPr>
              <w:pStyle w:val="a8"/>
              <w:ind w:right="48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3736,3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5" w:rsidRPr="00C27EA2" w:rsidRDefault="00E74145" w:rsidP="00FD4360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5" w:rsidRPr="00C27EA2" w:rsidRDefault="00E74145" w:rsidP="00FD4360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5" w:rsidRPr="00C27EA2" w:rsidRDefault="00E74145" w:rsidP="00FD4360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4145" w:rsidRPr="00C27EA2" w:rsidRDefault="00E74145" w:rsidP="00FD4360">
            <w:pPr>
              <w:pStyle w:val="a8"/>
              <w:jc w:val="center"/>
              <w:rPr>
                <w:rFonts w:ascii="PT Astra Serif" w:hAnsi="PT Astra Serif"/>
              </w:rPr>
            </w:pPr>
          </w:p>
          <w:p w:rsidR="00E74145" w:rsidRPr="00C27EA2" w:rsidRDefault="00E74145" w:rsidP="00FD4360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  <w:p w:rsidR="00E74145" w:rsidRPr="00C27EA2" w:rsidRDefault="00E74145" w:rsidP="00FD4360">
            <w:pPr>
              <w:pStyle w:val="a8"/>
              <w:rPr>
                <w:rFonts w:ascii="PT Astra Serif" w:hAnsi="PT Astra Serif"/>
              </w:rPr>
            </w:pPr>
          </w:p>
        </w:tc>
      </w:tr>
      <w:tr w:rsidR="00A11292" w:rsidRPr="00C27EA2" w:rsidTr="00E74145">
        <w:trPr>
          <w:jc w:val="center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7EA2">
              <w:rPr>
                <w:rFonts w:ascii="PT Astra Serif" w:hAnsi="PT Astra Serif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 w:rsidRPr="00C27EA2">
              <w:rPr>
                <w:rFonts w:ascii="PT Astra Serif" w:hAnsi="PT Astra Serif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ind w:right="4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</w:p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</w:p>
        </w:tc>
      </w:tr>
      <w:tr w:rsidR="00A11292" w:rsidRPr="00C27EA2" w:rsidTr="00E74145">
        <w:trPr>
          <w:jc w:val="center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7EA2">
              <w:rPr>
                <w:rFonts w:ascii="PT Astra Serif" w:hAnsi="PT Astra Serif"/>
                <w:color w:val="000000"/>
                <w:sz w:val="24"/>
                <w:szCs w:val="24"/>
              </w:rPr>
              <w:t>Частные инвестиции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 w:rsidRPr="00C27EA2">
              <w:rPr>
                <w:rFonts w:ascii="PT Astra Serif" w:hAnsi="PT Astra Serif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ind w:right="4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-</w:t>
            </w:r>
          </w:p>
        </w:tc>
      </w:tr>
      <w:tr w:rsidR="00A11292" w:rsidRPr="00C27EA2" w:rsidTr="00E74145">
        <w:trPr>
          <w:jc w:val="center"/>
        </w:trPr>
        <w:tc>
          <w:tcPr>
            <w:tcW w:w="15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7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7EA2">
              <w:rPr>
                <w:rFonts w:ascii="PT Astra Serif" w:hAnsi="PT Astra Serif"/>
                <w:color w:val="000000"/>
                <w:sz w:val="24"/>
                <w:szCs w:val="24"/>
              </w:rPr>
              <w:t>Средства населения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  <w:color w:val="000000"/>
              </w:rPr>
            </w:pPr>
            <w:r w:rsidRPr="00C27EA2">
              <w:rPr>
                <w:rFonts w:ascii="PT Astra Serif" w:hAnsi="PT Astra Serif"/>
                <w:color w:val="000000"/>
              </w:rPr>
              <w:t>тыс. руб.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ind w:right="4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</w:p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0,0</w:t>
            </w:r>
          </w:p>
          <w:p w:rsidR="00AC73D4" w:rsidRPr="00C27EA2" w:rsidRDefault="00AC73D4" w:rsidP="007321C3">
            <w:pPr>
              <w:pStyle w:val="a8"/>
              <w:jc w:val="center"/>
              <w:rPr>
                <w:rFonts w:ascii="PT Astra Serif" w:hAnsi="PT Astra Serif"/>
              </w:rPr>
            </w:pPr>
          </w:p>
        </w:tc>
      </w:tr>
    </w:tbl>
    <w:p w:rsidR="00451F8F" w:rsidRPr="00C27EA2" w:rsidRDefault="00451F8F" w:rsidP="00645B5D">
      <w:pPr>
        <w:rPr>
          <w:rFonts w:ascii="PT Astra Serif" w:hAnsi="PT Astra Serif" w:cs="Arial"/>
        </w:rPr>
        <w:sectPr w:rsidR="00451F8F" w:rsidRPr="00C27EA2" w:rsidSect="00A11292">
          <w:head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1F8F" w:rsidRPr="00C27EA2" w:rsidRDefault="00451F8F" w:rsidP="00645B5D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rPr>
          <w:rFonts w:ascii="PT Astra Serif" w:hAnsi="PT Astra Serif" w:cs="Arial"/>
          <w:b/>
        </w:rPr>
      </w:pPr>
      <w:r w:rsidRPr="00C27EA2">
        <w:rPr>
          <w:rFonts w:ascii="PT Astra Serif" w:hAnsi="PT Astra Serif" w:cs="Arial"/>
          <w:b/>
        </w:rPr>
        <w:lastRenderedPageBreak/>
        <w:t>Ресурсное обеспечение реализации Программы по основным мероприятиям и коду бюджетной классификации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2996"/>
        <w:gridCol w:w="745"/>
        <w:gridCol w:w="704"/>
        <w:gridCol w:w="648"/>
        <w:gridCol w:w="479"/>
        <w:gridCol w:w="1224"/>
        <w:gridCol w:w="12"/>
        <w:gridCol w:w="1266"/>
        <w:gridCol w:w="1703"/>
        <w:gridCol w:w="1431"/>
        <w:gridCol w:w="1760"/>
      </w:tblGrid>
      <w:tr w:rsidR="00451F8F" w:rsidRPr="00C27EA2" w:rsidTr="005C1223">
        <w:trPr>
          <w:trHeight w:val="221"/>
          <w:jc w:val="center"/>
        </w:trPr>
        <w:tc>
          <w:tcPr>
            <w:tcW w:w="615" w:type="pct"/>
            <w:vMerge w:val="restart"/>
          </w:tcPr>
          <w:p w:rsidR="00451F8F" w:rsidRPr="00C27EA2" w:rsidRDefault="00451F8F" w:rsidP="005C1223">
            <w:pPr>
              <w:contextualSpacing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Статус</w:t>
            </w:r>
          </w:p>
        </w:tc>
        <w:tc>
          <w:tcPr>
            <w:tcW w:w="1013" w:type="pct"/>
            <w:vMerge w:val="restart"/>
          </w:tcPr>
          <w:p w:rsidR="00451F8F" w:rsidRPr="00C27EA2" w:rsidRDefault="00451F8F" w:rsidP="005C1223">
            <w:pPr>
              <w:contextualSpacing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871" w:type="pct"/>
            <w:gridSpan w:val="4"/>
          </w:tcPr>
          <w:p w:rsidR="00451F8F" w:rsidRPr="00C27EA2" w:rsidRDefault="00451F8F" w:rsidP="005C1223">
            <w:pPr>
              <w:contextualSpacing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501" w:type="pct"/>
            <w:gridSpan w:val="6"/>
          </w:tcPr>
          <w:p w:rsidR="00451F8F" w:rsidRPr="00C27EA2" w:rsidRDefault="00451F8F" w:rsidP="009519FC">
            <w:pPr>
              <w:contextualSpacing/>
              <w:jc w:val="center"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Расходы (тыс. руб.), годы</w:t>
            </w:r>
          </w:p>
        </w:tc>
      </w:tr>
      <w:tr w:rsidR="009519FC" w:rsidRPr="00C27EA2" w:rsidTr="009519FC">
        <w:trPr>
          <w:cantSplit/>
          <w:trHeight w:val="1134"/>
          <w:jc w:val="center"/>
        </w:trPr>
        <w:tc>
          <w:tcPr>
            <w:tcW w:w="615" w:type="pct"/>
            <w:vMerge/>
            <w:vAlign w:val="center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  <w:bCs/>
                <w:color w:val="000000"/>
              </w:rPr>
            </w:pPr>
          </w:p>
        </w:tc>
        <w:tc>
          <w:tcPr>
            <w:tcW w:w="1013" w:type="pct"/>
            <w:vMerge/>
            <w:vAlign w:val="center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  <w:bCs/>
                <w:color w:val="000000"/>
              </w:rPr>
            </w:pPr>
          </w:p>
        </w:tc>
        <w:tc>
          <w:tcPr>
            <w:tcW w:w="252" w:type="pct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ГРБС</w:t>
            </w:r>
          </w:p>
        </w:tc>
        <w:tc>
          <w:tcPr>
            <w:tcW w:w="238" w:type="pct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  <w:bCs/>
                <w:color w:val="000000"/>
              </w:rPr>
            </w:pPr>
            <w:proofErr w:type="spellStart"/>
            <w:r w:rsidRPr="00C27EA2">
              <w:rPr>
                <w:rFonts w:ascii="PT Astra Serif" w:hAnsi="PT Astra Serif" w:cs="Arial"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219" w:type="pct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ЦСР</w:t>
            </w:r>
          </w:p>
        </w:tc>
        <w:tc>
          <w:tcPr>
            <w:tcW w:w="162" w:type="pct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ВР</w:t>
            </w:r>
          </w:p>
        </w:tc>
        <w:tc>
          <w:tcPr>
            <w:tcW w:w="414" w:type="pct"/>
            <w:textDirection w:val="btLr"/>
          </w:tcPr>
          <w:p w:rsidR="009519FC" w:rsidRPr="00C27EA2" w:rsidRDefault="00151024" w:rsidP="00AC73D4">
            <w:pPr>
              <w:ind w:right="113"/>
              <w:contextualSpacing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2024</w:t>
            </w:r>
          </w:p>
          <w:p w:rsidR="009519FC" w:rsidRPr="00C27EA2" w:rsidRDefault="009519FC" w:rsidP="007321C3">
            <w:pPr>
              <w:ind w:right="113"/>
              <w:contextualSpacing/>
              <w:rPr>
                <w:rFonts w:ascii="PT Astra Serif" w:hAnsi="PT Astra Serif" w:cs="Arial"/>
                <w:bCs/>
                <w:color w:val="000000"/>
              </w:rPr>
            </w:pPr>
          </w:p>
        </w:tc>
        <w:tc>
          <w:tcPr>
            <w:tcW w:w="432" w:type="pct"/>
            <w:gridSpan w:val="2"/>
            <w:textDirection w:val="btLr"/>
          </w:tcPr>
          <w:p w:rsidR="009519FC" w:rsidRPr="00C27EA2" w:rsidRDefault="00151024" w:rsidP="00AC73D4">
            <w:pPr>
              <w:ind w:right="113"/>
              <w:contextualSpacing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2025</w:t>
            </w:r>
          </w:p>
          <w:p w:rsidR="009519FC" w:rsidRPr="00C27EA2" w:rsidRDefault="009519FC" w:rsidP="007321C3">
            <w:pPr>
              <w:ind w:right="113"/>
              <w:contextualSpacing/>
              <w:rPr>
                <w:rFonts w:ascii="PT Astra Serif" w:hAnsi="PT Astra Serif" w:cs="Arial"/>
                <w:bCs/>
                <w:color w:val="000000"/>
              </w:rPr>
            </w:pPr>
          </w:p>
        </w:tc>
        <w:tc>
          <w:tcPr>
            <w:tcW w:w="575" w:type="pct"/>
            <w:textDirection w:val="btLr"/>
          </w:tcPr>
          <w:p w:rsidR="009519FC" w:rsidRPr="00C27EA2" w:rsidRDefault="00151024" w:rsidP="00AC73D4">
            <w:pPr>
              <w:ind w:right="113"/>
              <w:contextualSpacing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2026</w:t>
            </w:r>
          </w:p>
          <w:p w:rsidR="009519FC" w:rsidRPr="00C27EA2" w:rsidRDefault="009519FC" w:rsidP="007321C3">
            <w:pPr>
              <w:ind w:right="113"/>
              <w:contextualSpacing/>
              <w:rPr>
                <w:rFonts w:ascii="PT Astra Serif" w:hAnsi="PT Astra Serif" w:cs="Arial"/>
                <w:bCs/>
                <w:color w:val="000000"/>
              </w:rPr>
            </w:pPr>
          </w:p>
        </w:tc>
        <w:tc>
          <w:tcPr>
            <w:tcW w:w="484" w:type="pct"/>
            <w:textDirection w:val="btLr"/>
          </w:tcPr>
          <w:p w:rsidR="009519FC" w:rsidRPr="00C27EA2" w:rsidRDefault="00151024" w:rsidP="007321C3">
            <w:pPr>
              <w:ind w:right="113"/>
              <w:contextualSpacing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2027</w:t>
            </w:r>
          </w:p>
        </w:tc>
        <w:tc>
          <w:tcPr>
            <w:tcW w:w="596" w:type="pct"/>
            <w:textDirection w:val="btLr"/>
          </w:tcPr>
          <w:p w:rsidR="009519FC" w:rsidRPr="00C27EA2" w:rsidRDefault="00151024" w:rsidP="007321C3">
            <w:pPr>
              <w:ind w:right="113"/>
              <w:contextualSpacing/>
              <w:rPr>
                <w:rFonts w:ascii="PT Astra Serif" w:hAnsi="PT Astra Serif" w:cs="Arial"/>
                <w:bCs/>
                <w:color w:val="000000"/>
              </w:rPr>
            </w:pPr>
            <w:r w:rsidRPr="00C27EA2">
              <w:rPr>
                <w:rFonts w:ascii="PT Astra Serif" w:hAnsi="PT Astra Serif" w:cs="Arial"/>
                <w:bCs/>
                <w:color w:val="000000"/>
              </w:rPr>
              <w:t>2028</w:t>
            </w:r>
          </w:p>
        </w:tc>
      </w:tr>
      <w:tr w:rsidR="009519FC" w:rsidRPr="00C27EA2" w:rsidTr="009519FC">
        <w:trPr>
          <w:trHeight w:val="111"/>
          <w:tblHeader/>
          <w:jc w:val="center"/>
        </w:trPr>
        <w:tc>
          <w:tcPr>
            <w:tcW w:w="615" w:type="pct"/>
          </w:tcPr>
          <w:p w:rsidR="009519FC" w:rsidRPr="00C27EA2" w:rsidRDefault="009519FC" w:rsidP="005C1223">
            <w:pPr>
              <w:contextualSpacing/>
              <w:jc w:val="center"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1013" w:type="pct"/>
          </w:tcPr>
          <w:p w:rsidR="009519FC" w:rsidRPr="00C27EA2" w:rsidRDefault="009519FC" w:rsidP="005C1223">
            <w:pPr>
              <w:contextualSpacing/>
              <w:jc w:val="center"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252" w:type="pct"/>
            <w:vAlign w:val="center"/>
          </w:tcPr>
          <w:p w:rsidR="009519FC" w:rsidRPr="00C27EA2" w:rsidRDefault="00074AA1" w:rsidP="005C1223">
            <w:pPr>
              <w:contextualSpacing/>
              <w:jc w:val="center"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238" w:type="pct"/>
            <w:vAlign w:val="center"/>
          </w:tcPr>
          <w:p w:rsidR="009519FC" w:rsidRPr="00C27EA2" w:rsidRDefault="00074AA1" w:rsidP="007321C3">
            <w:pPr>
              <w:contextualSpacing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219" w:type="pct"/>
            <w:vAlign w:val="center"/>
          </w:tcPr>
          <w:p w:rsidR="009519FC" w:rsidRPr="00C27EA2" w:rsidRDefault="00074AA1" w:rsidP="007321C3">
            <w:pPr>
              <w:contextualSpacing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162" w:type="pct"/>
            <w:vAlign w:val="center"/>
          </w:tcPr>
          <w:p w:rsidR="009519FC" w:rsidRPr="00C27EA2" w:rsidRDefault="00074AA1" w:rsidP="007321C3">
            <w:pPr>
              <w:contextualSpacing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414" w:type="pct"/>
            <w:vAlign w:val="center"/>
          </w:tcPr>
          <w:p w:rsidR="009519FC" w:rsidRPr="00C27EA2" w:rsidRDefault="00074AA1" w:rsidP="005C1223">
            <w:pPr>
              <w:contextualSpacing/>
              <w:jc w:val="center"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7</w:t>
            </w:r>
          </w:p>
        </w:tc>
        <w:tc>
          <w:tcPr>
            <w:tcW w:w="432" w:type="pct"/>
            <w:gridSpan w:val="2"/>
            <w:vAlign w:val="center"/>
          </w:tcPr>
          <w:p w:rsidR="009519FC" w:rsidRPr="00C27EA2" w:rsidRDefault="00074AA1" w:rsidP="005C1223">
            <w:pPr>
              <w:contextualSpacing/>
              <w:jc w:val="center"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8</w:t>
            </w:r>
          </w:p>
        </w:tc>
        <w:tc>
          <w:tcPr>
            <w:tcW w:w="575" w:type="pct"/>
            <w:vAlign w:val="center"/>
          </w:tcPr>
          <w:p w:rsidR="009519FC" w:rsidRPr="00C27EA2" w:rsidRDefault="00074AA1" w:rsidP="005C1223">
            <w:pPr>
              <w:contextualSpacing/>
              <w:jc w:val="center"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9</w:t>
            </w:r>
          </w:p>
        </w:tc>
        <w:tc>
          <w:tcPr>
            <w:tcW w:w="484" w:type="pct"/>
          </w:tcPr>
          <w:p w:rsidR="009519FC" w:rsidRPr="00C27EA2" w:rsidRDefault="009519FC" w:rsidP="005C1223">
            <w:pPr>
              <w:contextualSpacing/>
              <w:jc w:val="center"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1</w:t>
            </w:r>
            <w:r w:rsidR="00074AA1" w:rsidRPr="00C27EA2">
              <w:rPr>
                <w:rFonts w:ascii="PT Astra Serif" w:hAnsi="PT Astra Serif" w:cs="Arial"/>
                <w:color w:val="000000"/>
              </w:rPr>
              <w:t>0</w:t>
            </w:r>
          </w:p>
        </w:tc>
        <w:tc>
          <w:tcPr>
            <w:tcW w:w="596" w:type="pct"/>
          </w:tcPr>
          <w:p w:rsidR="009519FC" w:rsidRPr="00C27EA2" w:rsidRDefault="00074AA1" w:rsidP="005C1223">
            <w:pPr>
              <w:contextualSpacing/>
              <w:jc w:val="center"/>
              <w:rPr>
                <w:rFonts w:ascii="PT Astra Serif" w:hAnsi="PT Astra Serif" w:cs="Arial"/>
                <w:color w:val="000000"/>
              </w:rPr>
            </w:pPr>
            <w:r w:rsidRPr="00C27EA2">
              <w:rPr>
                <w:rFonts w:ascii="PT Astra Serif" w:hAnsi="PT Astra Serif" w:cs="Arial"/>
                <w:color w:val="000000"/>
              </w:rPr>
              <w:t>11</w:t>
            </w:r>
          </w:p>
        </w:tc>
      </w:tr>
      <w:tr w:rsidR="009519FC" w:rsidRPr="00C27EA2" w:rsidTr="009519FC">
        <w:trPr>
          <w:cantSplit/>
          <w:trHeight w:val="1134"/>
          <w:jc w:val="center"/>
        </w:trPr>
        <w:tc>
          <w:tcPr>
            <w:tcW w:w="615" w:type="pct"/>
            <w:tcBorders>
              <w:bottom w:val="single" w:sz="4" w:space="0" w:color="auto"/>
            </w:tcBorders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 xml:space="preserve">Муниципальная программа 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9519FC" w:rsidRPr="00C27EA2" w:rsidRDefault="009519FC" w:rsidP="00AC73D4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Обеспечение качественным жильем и услугами жилищно-коммунального хозяйства населения в муниципальном образовании Приг</w:t>
            </w:r>
            <w:r w:rsidR="00A9518E" w:rsidRPr="00C27EA2">
              <w:rPr>
                <w:rFonts w:ascii="PT Astra Serif" w:hAnsi="PT Astra Serif" w:cs="Arial"/>
              </w:rPr>
              <w:t>ородное Плавского района на 2023-2027</w:t>
            </w:r>
            <w:r w:rsidRPr="00C27EA2">
              <w:rPr>
                <w:rFonts w:ascii="PT Astra Serif" w:hAnsi="PT Astra Serif" w:cs="Arial"/>
              </w:rPr>
              <w:t xml:space="preserve"> годы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  <w:bCs/>
              </w:rPr>
              <w:t>X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X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X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:rsidR="009519FC" w:rsidRPr="00C27EA2" w:rsidRDefault="009519FC" w:rsidP="007321C3">
            <w:pPr>
              <w:contextualSpacing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X</w:t>
            </w:r>
          </w:p>
        </w:tc>
        <w:tc>
          <w:tcPr>
            <w:tcW w:w="418" w:type="pct"/>
            <w:gridSpan w:val="2"/>
            <w:tcBorders>
              <w:bottom w:val="single" w:sz="4" w:space="0" w:color="auto"/>
            </w:tcBorders>
          </w:tcPr>
          <w:p w:rsidR="009519FC" w:rsidRPr="00C27EA2" w:rsidRDefault="00D760D0" w:rsidP="00A623C0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3736,</w:t>
            </w:r>
            <w:r w:rsidR="00A623C0" w:rsidRPr="00C27EA2">
              <w:rPr>
                <w:rFonts w:ascii="PT Astra Serif" w:hAnsi="PT Astra Serif"/>
              </w:rPr>
              <w:t>3</w:t>
            </w: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:rsidR="009519FC" w:rsidRPr="00C27EA2" w:rsidRDefault="00E74145" w:rsidP="005C122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9519FC" w:rsidRPr="00C27EA2" w:rsidRDefault="00E74145" w:rsidP="005C122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9519FC" w:rsidRPr="00C27EA2" w:rsidRDefault="00E74145" w:rsidP="005C122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9519FC" w:rsidRPr="00C27EA2" w:rsidRDefault="00E74145" w:rsidP="005C1223">
            <w:pPr>
              <w:pStyle w:val="a8"/>
              <w:jc w:val="center"/>
              <w:rPr>
                <w:rFonts w:ascii="PT Astra Serif" w:hAnsi="PT Astra Serif"/>
              </w:rPr>
            </w:pPr>
            <w:r w:rsidRPr="00C27EA2">
              <w:rPr>
                <w:rFonts w:ascii="PT Astra Serif" w:hAnsi="PT Astra Serif"/>
              </w:rPr>
              <w:t>986,3</w:t>
            </w:r>
          </w:p>
        </w:tc>
      </w:tr>
      <w:tr w:rsidR="009519FC" w:rsidRPr="00C27EA2" w:rsidTr="00A9518E">
        <w:trPr>
          <w:cantSplit/>
          <w:trHeight w:val="1723"/>
          <w:jc w:val="center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9519FC" w:rsidP="007321C3">
            <w:pPr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  <w:bCs/>
              </w:rPr>
              <w:t>Комплексы программ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9FC" w:rsidRPr="00C27EA2" w:rsidRDefault="009519FC" w:rsidP="007321C3">
            <w:pPr>
              <w:ind w:firstLine="83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</w:rPr>
              <w:t>Содержание муниципального жилого фонда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9FC" w:rsidRPr="00C27EA2" w:rsidRDefault="009519FC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  <w:bCs/>
              </w:rPr>
              <w:t>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9FC" w:rsidRPr="00C27EA2" w:rsidRDefault="009519FC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  <w:bCs/>
              </w:rPr>
              <w:t>0501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9FC" w:rsidRPr="00C27EA2" w:rsidRDefault="009519FC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  <w:bCs/>
              </w:rPr>
              <w:t>0640628310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9FC" w:rsidRPr="00C27EA2" w:rsidRDefault="009519FC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  <w:bCs/>
              </w:rPr>
              <w:t>244,200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9519FC" w:rsidP="009519FC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4,5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9519FC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9519FC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4,5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9FC" w:rsidRPr="00C27EA2" w:rsidRDefault="009519FC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4,5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9FC" w:rsidRPr="00C27EA2" w:rsidRDefault="009519FC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4,5</w:t>
            </w:r>
          </w:p>
        </w:tc>
      </w:tr>
      <w:tr w:rsidR="00A623C0" w:rsidRPr="00C27EA2" w:rsidTr="00A9518E">
        <w:trPr>
          <w:cantSplit/>
          <w:trHeight w:val="1723"/>
          <w:jc w:val="center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C0" w:rsidRPr="00C27EA2" w:rsidRDefault="00A623C0" w:rsidP="007321C3">
            <w:pPr>
              <w:contextualSpacing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C0" w:rsidRPr="00C27EA2" w:rsidRDefault="00A623C0" w:rsidP="007321C3">
            <w:pPr>
              <w:ind w:firstLine="83"/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Расходы на капитальный ремонт муниципального жилищного фонда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3C0" w:rsidRPr="00C27EA2" w:rsidRDefault="00A623C0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  <w:bCs/>
              </w:rPr>
              <w:t>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3C0" w:rsidRPr="00C27EA2" w:rsidRDefault="00A623C0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  <w:bCs/>
              </w:rPr>
              <w:t>0501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3C0" w:rsidRPr="00C27EA2" w:rsidRDefault="00A623C0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  <w:bCs/>
              </w:rPr>
              <w:t>0640628530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23C0" w:rsidRPr="00C27EA2" w:rsidRDefault="00A623C0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C27EA2">
              <w:rPr>
                <w:rFonts w:ascii="PT Astra Serif" w:hAnsi="PT Astra Serif" w:cs="Arial"/>
                <w:bCs/>
              </w:rPr>
              <w:t>244,225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C0" w:rsidRPr="00C27EA2" w:rsidRDefault="00A623C0" w:rsidP="009519FC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61,8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C0" w:rsidRPr="00C27EA2" w:rsidRDefault="00A623C0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61,8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C0" w:rsidRPr="00C27EA2" w:rsidRDefault="00A623C0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61,8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C0" w:rsidRPr="00C27EA2" w:rsidRDefault="00A623C0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61,8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3C0" w:rsidRPr="00C27EA2" w:rsidRDefault="00A623C0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61,8</w:t>
            </w:r>
          </w:p>
        </w:tc>
      </w:tr>
      <w:tr w:rsidR="009519FC" w:rsidRPr="00C27EA2" w:rsidTr="00A11292">
        <w:trPr>
          <w:cantSplit/>
          <w:trHeight w:val="1671"/>
          <w:jc w:val="center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9519FC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9519FC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Обеспечение резерва м</w:t>
            </w:r>
            <w:r w:rsidR="00074AA1" w:rsidRPr="00C27EA2">
              <w:rPr>
                <w:rFonts w:ascii="PT Astra Serif" w:hAnsi="PT Astra Serif" w:cs="Arial"/>
              </w:rPr>
              <w:t>атериально-технических ресурсов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9FC" w:rsidRPr="00C27EA2" w:rsidRDefault="009519FC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9FC" w:rsidRPr="00C27EA2" w:rsidRDefault="009519FC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0502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9FC" w:rsidRPr="00C27EA2" w:rsidRDefault="009519FC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0640128060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19FC" w:rsidRPr="00C27EA2" w:rsidRDefault="00074AA1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244,344</w:t>
            </w:r>
          </w:p>
          <w:p w:rsidR="009519FC" w:rsidRPr="00C27EA2" w:rsidRDefault="009519FC" w:rsidP="005C1223">
            <w:pPr>
              <w:ind w:right="113"/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D760D0" w:rsidP="00D760D0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633</w:t>
            </w:r>
            <w:r w:rsidR="00184432" w:rsidRPr="00C27EA2">
              <w:rPr>
                <w:rFonts w:ascii="PT Astra Serif" w:hAnsi="PT Astra Serif" w:cs="Arial"/>
              </w:rPr>
              <w:t>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184432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184432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184432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300,0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FC" w:rsidRPr="00C27EA2" w:rsidRDefault="00184432" w:rsidP="00074AA1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300,0</w:t>
            </w:r>
          </w:p>
        </w:tc>
      </w:tr>
      <w:tr w:rsidR="00074AA1" w:rsidRPr="00C27EA2" w:rsidTr="00645B5D">
        <w:trPr>
          <w:cantSplit/>
          <w:trHeight w:val="3538"/>
          <w:jc w:val="center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1" w:rsidRPr="00C27EA2" w:rsidRDefault="00074AA1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1" w:rsidRPr="00C27EA2" w:rsidRDefault="00074AA1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Модернизация, текущий и капитальный ремонт объектов коммунальной инфраструктуры, в том числе объектов водо- и теплоснабжения, водоотведения и очистки сточных вод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AA1" w:rsidRPr="00C27EA2" w:rsidRDefault="00074AA1" w:rsidP="007321C3">
            <w:pPr>
              <w:ind w:right="113"/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AA1" w:rsidRPr="00C27EA2" w:rsidRDefault="00074AA1" w:rsidP="007321C3">
            <w:pPr>
              <w:ind w:right="113"/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0502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AA1" w:rsidRPr="00C27EA2" w:rsidRDefault="00074AA1" w:rsidP="007321C3">
            <w:pPr>
              <w:ind w:right="113"/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0640528090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AA1" w:rsidRPr="00C27EA2" w:rsidRDefault="00074AA1" w:rsidP="007321C3">
            <w:pPr>
              <w:ind w:right="113"/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244,200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1" w:rsidRPr="00C27EA2" w:rsidRDefault="00D760D0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3037,</w:t>
            </w:r>
            <w:r w:rsidR="00074AA1" w:rsidRPr="00C27EA2">
              <w:rPr>
                <w:rFonts w:ascii="PT Astra Serif" w:hAnsi="PT Astra Serif" w:cs="Arial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1" w:rsidRPr="00C27EA2" w:rsidRDefault="0022145E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40</w:t>
            </w:r>
            <w:r w:rsidR="00074AA1" w:rsidRPr="00C27EA2">
              <w:rPr>
                <w:rFonts w:ascii="PT Astra Serif" w:hAnsi="PT Astra Serif" w:cs="Arial"/>
              </w:rPr>
              <w:t>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1" w:rsidRPr="00C27EA2" w:rsidRDefault="0022145E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40</w:t>
            </w:r>
            <w:r w:rsidR="00074AA1" w:rsidRPr="00C27EA2">
              <w:rPr>
                <w:rFonts w:ascii="PT Astra Serif" w:hAnsi="PT Astra Serif" w:cs="Arial"/>
              </w:rPr>
              <w:t>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1" w:rsidRPr="00C27EA2" w:rsidRDefault="0022145E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40</w:t>
            </w:r>
            <w:r w:rsidR="00074AA1" w:rsidRPr="00C27EA2">
              <w:rPr>
                <w:rFonts w:ascii="PT Astra Serif" w:hAnsi="PT Astra Serif" w:cs="Arial"/>
              </w:rPr>
              <w:t>0,0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A1" w:rsidRPr="00C27EA2" w:rsidRDefault="0022145E" w:rsidP="007321C3">
            <w:pPr>
              <w:contextualSpacing/>
              <w:jc w:val="center"/>
              <w:rPr>
                <w:rFonts w:ascii="PT Astra Serif" w:hAnsi="PT Astra Serif" w:cs="Arial"/>
              </w:rPr>
            </w:pPr>
            <w:r w:rsidRPr="00C27EA2">
              <w:rPr>
                <w:rFonts w:ascii="PT Astra Serif" w:hAnsi="PT Astra Serif" w:cs="Arial"/>
              </w:rPr>
              <w:t>40</w:t>
            </w:r>
            <w:r w:rsidR="00074AA1" w:rsidRPr="00C27EA2">
              <w:rPr>
                <w:rFonts w:ascii="PT Astra Serif" w:hAnsi="PT Astra Serif" w:cs="Arial"/>
              </w:rPr>
              <w:t>0,0</w:t>
            </w:r>
          </w:p>
        </w:tc>
      </w:tr>
    </w:tbl>
    <w:p w:rsidR="005E20A5" w:rsidRPr="00C27EA2" w:rsidRDefault="005E20A5" w:rsidP="005C1223">
      <w:pPr>
        <w:pStyle w:val="ConsPlusNormal"/>
        <w:ind w:firstLine="0"/>
        <w:rPr>
          <w:rFonts w:ascii="PT Astra Serif" w:hAnsi="PT Astra Serif"/>
          <w:sz w:val="24"/>
          <w:szCs w:val="24"/>
        </w:rPr>
      </w:pPr>
    </w:p>
    <w:sectPr w:rsidR="005E20A5" w:rsidRPr="00C27EA2" w:rsidSect="00A47E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BB" w:rsidRDefault="00562BBB" w:rsidP="002F3458">
      <w:r>
        <w:separator/>
      </w:r>
    </w:p>
  </w:endnote>
  <w:endnote w:type="continuationSeparator" w:id="0">
    <w:p w:rsidR="00562BBB" w:rsidRDefault="00562BBB" w:rsidP="002F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BB" w:rsidRDefault="00562BBB" w:rsidP="002F3458">
      <w:r>
        <w:separator/>
      </w:r>
    </w:p>
  </w:footnote>
  <w:footnote w:type="continuationSeparator" w:id="0">
    <w:p w:rsidR="00562BBB" w:rsidRDefault="00562BBB" w:rsidP="002F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F" w:rsidRPr="002F3458" w:rsidRDefault="00451F8F" w:rsidP="002748A0">
    <w:pPr>
      <w:pStyle w:val="a3"/>
      <w:jc w:val="lef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A6AAC"/>
    <w:multiLevelType w:val="multilevel"/>
    <w:tmpl w:val="C74EAD8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2160"/>
      </w:pPr>
      <w:rPr>
        <w:rFonts w:hint="default"/>
      </w:rPr>
    </w:lvl>
  </w:abstractNum>
  <w:abstractNum w:abstractNumId="1" w15:restartNumberingAfterBreak="0">
    <w:nsid w:val="1F1771F0"/>
    <w:multiLevelType w:val="multilevel"/>
    <w:tmpl w:val="94B68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90"/>
    <w:rsid w:val="00005CA2"/>
    <w:rsid w:val="000143DA"/>
    <w:rsid w:val="000177EF"/>
    <w:rsid w:val="00020E2E"/>
    <w:rsid w:val="00026D96"/>
    <w:rsid w:val="000354CB"/>
    <w:rsid w:val="000422D5"/>
    <w:rsid w:val="000508BB"/>
    <w:rsid w:val="0005236F"/>
    <w:rsid w:val="00055905"/>
    <w:rsid w:val="00074AA1"/>
    <w:rsid w:val="00082CA1"/>
    <w:rsid w:val="00085E32"/>
    <w:rsid w:val="000910D2"/>
    <w:rsid w:val="000B0D65"/>
    <w:rsid w:val="000B5395"/>
    <w:rsid w:val="000B6DA1"/>
    <w:rsid w:val="000C60F7"/>
    <w:rsid w:val="000C678A"/>
    <w:rsid w:val="000D474E"/>
    <w:rsid w:val="000D7494"/>
    <w:rsid w:val="000E162D"/>
    <w:rsid w:val="000E1CC2"/>
    <w:rsid w:val="000E64C6"/>
    <w:rsid w:val="000F041D"/>
    <w:rsid w:val="000F5D41"/>
    <w:rsid w:val="000F5F3C"/>
    <w:rsid w:val="000F696A"/>
    <w:rsid w:val="00106E1C"/>
    <w:rsid w:val="00110618"/>
    <w:rsid w:val="00115777"/>
    <w:rsid w:val="00121C68"/>
    <w:rsid w:val="00122529"/>
    <w:rsid w:val="0012471D"/>
    <w:rsid w:val="00124E02"/>
    <w:rsid w:val="00130844"/>
    <w:rsid w:val="00131EA4"/>
    <w:rsid w:val="001363B3"/>
    <w:rsid w:val="00137B4D"/>
    <w:rsid w:val="00140A83"/>
    <w:rsid w:val="001426FC"/>
    <w:rsid w:val="00144BAA"/>
    <w:rsid w:val="00151024"/>
    <w:rsid w:val="0015460B"/>
    <w:rsid w:val="0015698B"/>
    <w:rsid w:val="00164672"/>
    <w:rsid w:val="00183C77"/>
    <w:rsid w:val="00184432"/>
    <w:rsid w:val="001917DC"/>
    <w:rsid w:val="001959FF"/>
    <w:rsid w:val="001A2F96"/>
    <w:rsid w:val="001A365F"/>
    <w:rsid w:val="001A4776"/>
    <w:rsid w:val="001A4F64"/>
    <w:rsid w:val="001B12F4"/>
    <w:rsid w:val="001B6652"/>
    <w:rsid w:val="001C0228"/>
    <w:rsid w:val="001C16CA"/>
    <w:rsid w:val="001C4A87"/>
    <w:rsid w:val="001C7201"/>
    <w:rsid w:val="001C7B54"/>
    <w:rsid w:val="001D0336"/>
    <w:rsid w:val="001D3C54"/>
    <w:rsid w:val="001E542B"/>
    <w:rsid w:val="00200D79"/>
    <w:rsid w:val="00202825"/>
    <w:rsid w:val="00202D11"/>
    <w:rsid w:val="002106AF"/>
    <w:rsid w:val="002130B3"/>
    <w:rsid w:val="00213258"/>
    <w:rsid w:val="00213573"/>
    <w:rsid w:val="0022145E"/>
    <w:rsid w:val="00223CBB"/>
    <w:rsid w:val="002253AA"/>
    <w:rsid w:val="002276D5"/>
    <w:rsid w:val="00231F00"/>
    <w:rsid w:val="00235BE8"/>
    <w:rsid w:val="00236B42"/>
    <w:rsid w:val="00242CA9"/>
    <w:rsid w:val="00243C7B"/>
    <w:rsid w:val="00245FED"/>
    <w:rsid w:val="00250EEA"/>
    <w:rsid w:val="00254DFB"/>
    <w:rsid w:val="00256948"/>
    <w:rsid w:val="00260D1A"/>
    <w:rsid w:val="00271DA4"/>
    <w:rsid w:val="00273AFD"/>
    <w:rsid w:val="002748A0"/>
    <w:rsid w:val="0028151C"/>
    <w:rsid w:val="00281C5A"/>
    <w:rsid w:val="00296584"/>
    <w:rsid w:val="002A1FD1"/>
    <w:rsid w:val="002A590D"/>
    <w:rsid w:val="002A5B3E"/>
    <w:rsid w:val="002C0B53"/>
    <w:rsid w:val="002C30FE"/>
    <w:rsid w:val="002C4E36"/>
    <w:rsid w:val="002D04D8"/>
    <w:rsid w:val="002D0D2B"/>
    <w:rsid w:val="002D24B8"/>
    <w:rsid w:val="002F2A48"/>
    <w:rsid w:val="002F3458"/>
    <w:rsid w:val="002F4453"/>
    <w:rsid w:val="002F5A90"/>
    <w:rsid w:val="002F68B4"/>
    <w:rsid w:val="002F6F94"/>
    <w:rsid w:val="00300963"/>
    <w:rsid w:val="00301BA3"/>
    <w:rsid w:val="003020AB"/>
    <w:rsid w:val="00302121"/>
    <w:rsid w:val="0031113B"/>
    <w:rsid w:val="003145BE"/>
    <w:rsid w:val="00331D3A"/>
    <w:rsid w:val="00335AB6"/>
    <w:rsid w:val="00336E16"/>
    <w:rsid w:val="003458B6"/>
    <w:rsid w:val="0034749E"/>
    <w:rsid w:val="00352B7B"/>
    <w:rsid w:val="00365AC0"/>
    <w:rsid w:val="00367F95"/>
    <w:rsid w:val="003902A7"/>
    <w:rsid w:val="00392600"/>
    <w:rsid w:val="003A37EE"/>
    <w:rsid w:val="003A42AE"/>
    <w:rsid w:val="003A7D36"/>
    <w:rsid w:val="003C35B2"/>
    <w:rsid w:val="003D6531"/>
    <w:rsid w:val="003E2C7C"/>
    <w:rsid w:val="003F4124"/>
    <w:rsid w:val="00402584"/>
    <w:rsid w:val="0040649B"/>
    <w:rsid w:val="00412862"/>
    <w:rsid w:val="00415CF8"/>
    <w:rsid w:val="0042175D"/>
    <w:rsid w:val="00427F2D"/>
    <w:rsid w:val="004469EB"/>
    <w:rsid w:val="004470E3"/>
    <w:rsid w:val="00451F8F"/>
    <w:rsid w:val="004638BC"/>
    <w:rsid w:val="004640A6"/>
    <w:rsid w:val="00467227"/>
    <w:rsid w:val="004759BC"/>
    <w:rsid w:val="00476723"/>
    <w:rsid w:val="00486305"/>
    <w:rsid w:val="004A36AD"/>
    <w:rsid w:val="004A546F"/>
    <w:rsid w:val="004B05AA"/>
    <w:rsid w:val="004B27D1"/>
    <w:rsid w:val="004B6174"/>
    <w:rsid w:val="004B6C2D"/>
    <w:rsid w:val="004B74D6"/>
    <w:rsid w:val="004D5DA4"/>
    <w:rsid w:val="004D72EF"/>
    <w:rsid w:val="004E0F82"/>
    <w:rsid w:val="004F4E2D"/>
    <w:rsid w:val="004F60DC"/>
    <w:rsid w:val="00500642"/>
    <w:rsid w:val="00503CB9"/>
    <w:rsid w:val="00504871"/>
    <w:rsid w:val="0051318A"/>
    <w:rsid w:val="005153EB"/>
    <w:rsid w:val="00516DB4"/>
    <w:rsid w:val="00517D90"/>
    <w:rsid w:val="0052372F"/>
    <w:rsid w:val="00524EBF"/>
    <w:rsid w:val="005252BD"/>
    <w:rsid w:val="00534076"/>
    <w:rsid w:val="00540DCA"/>
    <w:rsid w:val="00544735"/>
    <w:rsid w:val="00545CF5"/>
    <w:rsid w:val="005478AE"/>
    <w:rsid w:val="00551045"/>
    <w:rsid w:val="00562BBB"/>
    <w:rsid w:val="005650E0"/>
    <w:rsid w:val="005652EB"/>
    <w:rsid w:val="00577329"/>
    <w:rsid w:val="00580A7D"/>
    <w:rsid w:val="00591CC6"/>
    <w:rsid w:val="00593695"/>
    <w:rsid w:val="005965A4"/>
    <w:rsid w:val="00597750"/>
    <w:rsid w:val="005A0FE9"/>
    <w:rsid w:val="005A7032"/>
    <w:rsid w:val="005B5A2C"/>
    <w:rsid w:val="005B65A8"/>
    <w:rsid w:val="005B7670"/>
    <w:rsid w:val="005C1223"/>
    <w:rsid w:val="005C50E9"/>
    <w:rsid w:val="005C5664"/>
    <w:rsid w:val="005D499C"/>
    <w:rsid w:val="005D51BD"/>
    <w:rsid w:val="005D5E09"/>
    <w:rsid w:val="005E20A5"/>
    <w:rsid w:val="005E3381"/>
    <w:rsid w:val="005F3E2C"/>
    <w:rsid w:val="00603091"/>
    <w:rsid w:val="006038D0"/>
    <w:rsid w:val="00611436"/>
    <w:rsid w:val="006131D5"/>
    <w:rsid w:val="006162CF"/>
    <w:rsid w:val="006205B0"/>
    <w:rsid w:val="006207B6"/>
    <w:rsid w:val="0062569E"/>
    <w:rsid w:val="0062683F"/>
    <w:rsid w:val="006279FA"/>
    <w:rsid w:val="00637170"/>
    <w:rsid w:val="00642740"/>
    <w:rsid w:val="00644EDA"/>
    <w:rsid w:val="00645B5D"/>
    <w:rsid w:val="00645D2E"/>
    <w:rsid w:val="00652B2D"/>
    <w:rsid w:val="006548A1"/>
    <w:rsid w:val="00654D2C"/>
    <w:rsid w:val="00661E76"/>
    <w:rsid w:val="00675A61"/>
    <w:rsid w:val="00690245"/>
    <w:rsid w:val="006978A7"/>
    <w:rsid w:val="006A110B"/>
    <w:rsid w:val="006A49E1"/>
    <w:rsid w:val="006A5568"/>
    <w:rsid w:val="006B0132"/>
    <w:rsid w:val="006B5094"/>
    <w:rsid w:val="006C4D47"/>
    <w:rsid w:val="006C4FD8"/>
    <w:rsid w:val="006C50B2"/>
    <w:rsid w:val="006D2E64"/>
    <w:rsid w:val="006D6878"/>
    <w:rsid w:val="006E4328"/>
    <w:rsid w:val="006E4F1C"/>
    <w:rsid w:val="006E7279"/>
    <w:rsid w:val="006F6023"/>
    <w:rsid w:val="006F67AC"/>
    <w:rsid w:val="006F6FA8"/>
    <w:rsid w:val="006F7067"/>
    <w:rsid w:val="007013BB"/>
    <w:rsid w:val="0070183B"/>
    <w:rsid w:val="00707242"/>
    <w:rsid w:val="0071200B"/>
    <w:rsid w:val="00714608"/>
    <w:rsid w:val="00716A5E"/>
    <w:rsid w:val="00723DB7"/>
    <w:rsid w:val="00725DE6"/>
    <w:rsid w:val="00726601"/>
    <w:rsid w:val="007321C3"/>
    <w:rsid w:val="007349DD"/>
    <w:rsid w:val="0076532A"/>
    <w:rsid w:val="0076550E"/>
    <w:rsid w:val="00765C79"/>
    <w:rsid w:val="007660B6"/>
    <w:rsid w:val="00777385"/>
    <w:rsid w:val="00780356"/>
    <w:rsid w:val="007819CF"/>
    <w:rsid w:val="00797ABB"/>
    <w:rsid w:val="007A2A81"/>
    <w:rsid w:val="007A54F0"/>
    <w:rsid w:val="007B17F7"/>
    <w:rsid w:val="007C0747"/>
    <w:rsid w:val="007C1D34"/>
    <w:rsid w:val="007C2F83"/>
    <w:rsid w:val="007C3737"/>
    <w:rsid w:val="007C4C2E"/>
    <w:rsid w:val="007D4E62"/>
    <w:rsid w:val="007E2487"/>
    <w:rsid w:val="007F077C"/>
    <w:rsid w:val="007F457E"/>
    <w:rsid w:val="007F7854"/>
    <w:rsid w:val="007F7CC9"/>
    <w:rsid w:val="00814323"/>
    <w:rsid w:val="00816861"/>
    <w:rsid w:val="008209C0"/>
    <w:rsid w:val="008266F6"/>
    <w:rsid w:val="00834D74"/>
    <w:rsid w:val="008352A1"/>
    <w:rsid w:val="00842717"/>
    <w:rsid w:val="00844389"/>
    <w:rsid w:val="00845B9B"/>
    <w:rsid w:val="00846CEF"/>
    <w:rsid w:val="008472F0"/>
    <w:rsid w:val="008477EC"/>
    <w:rsid w:val="0085041C"/>
    <w:rsid w:val="00851DB6"/>
    <w:rsid w:val="00862CAD"/>
    <w:rsid w:val="00862E74"/>
    <w:rsid w:val="00864B60"/>
    <w:rsid w:val="008927FB"/>
    <w:rsid w:val="008A2A67"/>
    <w:rsid w:val="008A33B7"/>
    <w:rsid w:val="008A402B"/>
    <w:rsid w:val="008A4A3F"/>
    <w:rsid w:val="008A5C6A"/>
    <w:rsid w:val="008B3764"/>
    <w:rsid w:val="008B47E0"/>
    <w:rsid w:val="008B4FEF"/>
    <w:rsid w:val="008C4C9B"/>
    <w:rsid w:val="008E6850"/>
    <w:rsid w:val="008F3E01"/>
    <w:rsid w:val="00900560"/>
    <w:rsid w:val="00900BB2"/>
    <w:rsid w:val="009036D6"/>
    <w:rsid w:val="009113DC"/>
    <w:rsid w:val="00920A4F"/>
    <w:rsid w:val="0092215F"/>
    <w:rsid w:val="009233B6"/>
    <w:rsid w:val="00930EDC"/>
    <w:rsid w:val="009312ED"/>
    <w:rsid w:val="0094243B"/>
    <w:rsid w:val="00942E47"/>
    <w:rsid w:val="009468BD"/>
    <w:rsid w:val="0094796B"/>
    <w:rsid w:val="00947B07"/>
    <w:rsid w:val="009519FC"/>
    <w:rsid w:val="00952E26"/>
    <w:rsid w:val="00954C4A"/>
    <w:rsid w:val="0096332F"/>
    <w:rsid w:val="00967FC1"/>
    <w:rsid w:val="00970352"/>
    <w:rsid w:val="00972A28"/>
    <w:rsid w:val="009827BF"/>
    <w:rsid w:val="009A0B64"/>
    <w:rsid w:val="009A44C9"/>
    <w:rsid w:val="009A7FBE"/>
    <w:rsid w:val="009C5CC3"/>
    <w:rsid w:val="009D3737"/>
    <w:rsid w:val="009D3E35"/>
    <w:rsid w:val="009D490B"/>
    <w:rsid w:val="009E0705"/>
    <w:rsid w:val="009E5385"/>
    <w:rsid w:val="009E6189"/>
    <w:rsid w:val="009F5C39"/>
    <w:rsid w:val="00A00CA7"/>
    <w:rsid w:val="00A057B5"/>
    <w:rsid w:val="00A11292"/>
    <w:rsid w:val="00A13E75"/>
    <w:rsid w:val="00A153C3"/>
    <w:rsid w:val="00A17560"/>
    <w:rsid w:val="00A204DE"/>
    <w:rsid w:val="00A470D4"/>
    <w:rsid w:val="00A47E44"/>
    <w:rsid w:val="00A55CB2"/>
    <w:rsid w:val="00A62278"/>
    <w:rsid w:val="00A623C0"/>
    <w:rsid w:val="00A633B5"/>
    <w:rsid w:val="00A753E7"/>
    <w:rsid w:val="00A760C1"/>
    <w:rsid w:val="00A762EB"/>
    <w:rsid w:val="00A82084"/>
    <w:rsid w:val="00A9041C"/>
    <w:rsid w:val="00A93D3D"/>
    <w:rsid w:val="00A9518E"/>
    <w:rsid w:val="00AA4736"/>
    <w:rsid w:val="00AA7284"/>
    <w:rsid w:val="00AB1577"/>
    <w:rsid w:val="00AB4B77"/>
    <w:rsid w:val="00AB590E"/>
    <w:rsid w:val="00AB5F25"/>
    <w:rsid w:val="00AC05A1"/>
    <w:rsid w:val="00AC087D"/>
    <w:rsid w:val="00AC1D61"/>
    <w:rsid w:val="00AC3165"/>
    <w:rsid w:val="00AC5A46"/>
    <w:rsid w:val="00AC73D4"/>
    <w:rsid w:val="00AD0E42"/>
    <w:rsid w:val="00AD31AD"/>
    <w:rsid w:val="00AD41A3"/>
    <w:rsid w:val="00AE4A46"/>
    <w:rsid w:val="00AF1ED1"/>
    <w:rsid w:val="00AF62A1"/>
    <w:rsid w:val="00AF72FB"/>
    <w:rsid w:val="00B002BF"/>
    <w:rsid w:val="00B039E5"/>
    <w:rsid w:val="00B03E7D"/>
    <w:rsid w:val="00B04540"/>
    <w:rsid w:val="00B05031"/>
    <w:rsid w:val="00B057AA"/>
    <w:rsid w:val="00B057C8"/>
    <w:rsid w:val="00B05ABB"/>
    <w:rsid w:val="00B12163"/>
    <w:rsid w:val="00B128A5"/>
    <w:rsid w:val="00B31202"/>
    <w:rsid w:val="00B328AB"/>
    <w:rsid w:val="00B35B5F"/>
    <w:rsid w:val="00B36DDD"/>
    <w:rsid w:val="00B37FCF"/>
    <w:rsid w:val="00B47F18"/>
    <w:rsid w:val="00B50DB1"/>
    <w:rsid w:val="00B563C0"/>
    <w:rsid w:val="00B5705B"/>
    <w:rsid w:val="00B64DC4"/>
    <w:rsid w:val="00B66490"/>
    <w:rsid w:val="00B67FDA"/>
    <w:rsid w:val="00B7212E"/>
    <w:rsid w:val="00B751FE"/>
    <w:rsid w:val="00B75690"/>
    <w:rsid w:val="00B81A64"/>
    <w:rsid w:val="00B861E0"/>
    <w:rsid w:val="00BA15EF"/>
    <w:rsid w:val="00BA58ED"/>
    <w:rsid w:val="00BA77A7"/>
    <w:rsid w:val="00BB2770"/>
    <w:rsid w:val="00BB471D"/>
    <w:rsid w:val="00BC0DA7"/>
    <w:rsid w:val="00BC76E5"/>
    <w:rsid w:val="00BD6F8C"/>
    <w:rsid w:val="00BD6FD8"/>
    <w:rsid w:val="00BE0114"/>
    <w:rsid w:val="00BE3BD6"/>
    <w:rsid w:val="00BE5FE0"/>
    <w:rsid w:val="00BF0E5B"/>
    <w:rsid w:val="00BF259F"/>
    <w:rsid w:val="00BF4624"/>
    <w:rsid w:val="00BF61F3"/>
    <w:rsid w:val="00C0076A"/>
    <w:rsid w:val="00C02B0B"/>
    <w:rsid w:val="00C20734"/>
    <w:rsid w:val="00C210F8"/>
    <w:rsid w:val="00C27EA2"/>
    <w:rsid w:val="00C34400"/>
    <w:rsid w:val="00C35A4F"/>
    <w:rsid w:val="00C3676E"/>
    <w:rsid w:val="00C371F9"/>
    <w:rsid w:val="00C42806"/>
    <w:rsid w:val="00C511A3"/>
    <w:rsid w:val="00C53984"/>
    <w:rsid w:val="00C5542A"/>
    <w:rsid w:val="00C5666B"/>
    <w:rsid w:val="00C569A8"/>
    <w:rsid w:val="00C5704D"/>
    <w:rsid w:val="00C60AAA"/>
    <w:rsid w:val="00C6162A"/>
    <w:rsid w:val="00C733BD"/>
    <w:rsid w:val="00C76CD5"/>
    <w:rsid w:val="00C76D13"/>
    <w:rsid w:val="00C80826"/>
    <w:rsid w:val="00C81BFC"/>
    <w:rsid w:val="00C81F8A"/>
    <w:rsid w:val="00C87C46"/>
    <w:rsid w:val="00C90961"/>
    <w:rsid w:val="00C91B24"/>
    <w:rsid w:val="00C91E97"/>
    <w:rsid w:val="00CC2D1E"/>
    <w:rsid w:val="00CD4177"/>
    <w:rsid w:val="00CE2DD9"/>
    <w:rsid w:val="00CE50D7"/>
    <w:rsid w:val="00D004A4"/>
    <w:rsid w:val="00D073D2"/>
    <w:rsid w:val="00D118A2"/>
    <w:rsid w:val="00D13DF2"/>
    <w:rsid w:val="00D16417"/>
    <w:rsid w:val="00D2365C"/>
    <w:rsid w:val="00D2799C"/>
    <w:rsid w:val="00D3286C"/>
    <w:rsid w:val="00D3727C"/>
    <w:rsid w:val="00D4150B"/>
    <w:rsid w:val="00D41A16"/>
    <w:rsid w:val="00D4209E"/>
    <w:rsid w:val="00D4563B"/>
    <w:rsid w:val="00D45F64"/>
    <w:rsid w:val="00D53F0B"/>
    <w:rsid w:val="00D54679"/>
    <w:rsid w:val="00D57998"/>
    <w:rsid w:val="00D60ED1"/>
    <w:rsid w:val="00D62ABA"/>
    <w:rsid w:val="00D67D1C"/>
    <w:rsid w:val="00D71180"/>
    <w:rsid w:val="00D71880"/>
    <w:rsid w:val="00D722C8"/>
    <w:rsid w:val="00D73589"/>
    <w:rsid w:val="00D760D0"/>
    <w:rsid w:val="00D8201E"/>
    <w:rsid w:val="00D83EB0"/>
    <w:rsid w:val="00D9517E"/>
    <w:rsid w:val="00D95917"/>
    <w:rsid w:val="00D96935"/>
    <w:rsid w:val="00DA1AD7"/>
    <w:rsid w:val="00DA731A"/>
    <w:rsid w:val="00DA758E"/>
    <w:rsid w:val="00DB2BC3"/>
    <w:rsid w:val="00DB4DD1"/>
    <w:rsid w:val="00DC0F87"/>
    <w:rsid w:val="00DD096F"/>
    <w:rsid w:val="00DD2E39"/>
    <w:rsid w:val="00DE0939"/>
    <w:rsid w:val="00DE0ADD"/>
    <w:rsid w:val="00DE0D42"/>
    <w:rsid w:val="00DE5DAD"/>
    <w:rsid w:val="00DF59E9"/>
    <w:rsid w:val="00DF5FFF"/>
    <w:rsid w:val="00DF6B93"/>
    <w:rsid w:val="00E133FA"/>
    <w:rsid w:val="00E1739E"/>
    <w:rsid w:val="00E22647"/>
    <w:rsid w:val="00E3254F"/>
    <w:rsid w:val="00E34355"/>
    <w:rsid w:val="00E34BBA"/>
    <w:rsid w:val="00E3701B"/>
    <w:rsid w:val="00E4008C"/>
    <w:rsid w:val="00E4476D"/>
    <w:rsid w:val="00E4479A"/>
    <w:rsid w:val="00E5711C"/>
    <w:rsid w:val="00E63790"/>
    <w:rsid w:val="00E67FDE"/>
    <w:rsid w:val="00E73C25"/>
    <w:rsid w:val="00E74145"/>
    <w:rsid w:val="00E77544"/>
    <w:rsid w:val="00E81A65"/>
    <w:rsid w:val="00E84E98"/>
    <w:rsid w:val="00E8551F"/>
    <w:rsid w:val="00E90A89"/>
    <w:rsid w:val="00EB00CF"/>
    <w:rsid w:val="00EB170A"/>
    <w:rsid w:val="00EB514D"/>
    <w:rsid w:val="00EB53B0"/>
    <w:rsid w:val="00EB551D"/>
    <w:rsid w:val="00EB7104"/>
    <w:rsid w:val="00EC6FC2"/>
    <w:rsid w:val="00ED6665"/>
    <w:rsid w:val="00EE73BF"/>
    <w:rsid w:val="00F008E8"/>
    <w:rsid w:val="00F054D6"/>
    <w:rsid w:val="00F1112A"/>
    <w:rsid w:val="00F12215"/>
    <w:rsid w:val="00F14EC5"/>
    <w:rsid w:val="00F15BB2"/>
    <w:rsid w:val="00F31E9F"/>
    <w:rsid w:val="00F36786"/>
    <w:rsid w:val="00F36D37"/>
    <w:rsid w:val="00F45E0A"/>
    <w:rsid w:val="00F6092A"/>
    <w:rsid w:val="00F83FAF"/>
    <w:rsid w:val="00F8564D"/>
    <w:rsid w:val="00F94176"/>
    <w:rsid w:val="00F950FC"/>
    <w:rsid w:val="00F961C4"/>
    <w:rsid w:val="00F96DEC"/>
    <w:rsid w:val="00FA4CC2"/>
    <w:rsid w:val="00FB35EF"/>
    <w:rsid w:val="00FB4B1E"/>
    <w:rsid w:val="00FB6F4B"/>
    <w:rsid w:val="00FC1521"/>
    <w:rsid w:val="00FC1C1F"/>
    <w:rsid w:val="00FC5A5D"/>
    <w:rsid w:val="00FD30AE"/>
    <w:rsid w:val="00FE0016"/>
    <w:rsid w:val="00FE01AF"/>
    <w:rsid w:val="00FE17FC"/>
    <w:rsid w:val="00FE7084"/>
    <w:rsid w:val="00FF4CC2"/>
    <w:rsid w:val="00FF5DAE"/>
    <w:rsid w:val="00FF6C0C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FD16"/>
  <w15:docId w15:val="{0BAA374B-B365-4A96-8A9B-8F15671E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0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3F0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B75690"/>
    <w:pPr>
      <w:keepNext/>
      <w:tabs>
        <w:tab w:val="left" w:pos="6688"/>
      </w:tabs>
      <w:spacing w:before="67"/>
      <w:jc w:val="center"/>
      <w:outlineLvl w:val="4"/>
    </w:pPr>
    <w:rPr>
      <w:rFonts w:ascii="Arial" w:eastAsia="Arial Unicode MS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75690"/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B75690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4">
    <w:name w:val="Верхний колонтитул Знак"/>
    <w:link w:val="a3"/>
    <w:rsid w:val="00B756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7569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B75690"/>
    <w:rPr>
      <w:rFonts w:cs="Times New Roman"/>
      <w:b/>
      <w:color w:val="106BBE"/>
      <w:sz w:val="26"/>
    </w:rPr>
  </w:style>
  <w:style w:type="character" w:customStyle="1" w:styleId="10">
    <w:name w:val="Заголовок 1 Знак"/>
    <w:link w:val="1"/>
    <w:uiPriority w:val="9"/>
    <w:rsid w:val="00D53F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D53F0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F6F9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2F6F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Normal (Web)"/>
    <w:basedOn w:val="a"/>
    <w:uiPriority w:val="99"/>
    <w:unhideWhenUsed/>
    <w:rsid w:val="006162CF"/>
    <w:pPr>
      <w:spacing w:before="100" w:beforeAutospacing="1" w:after="100" w:afterAutospacing="1"/>
      <w:jc w:val="left"/>
    </w:pPr>
  </w:style>
  <w:style w:type="paragraph" w:customStyle="1" w:styleId="a7">
    <w:name w:val="Прижатый влево"/>
    <w:basedOn w:val="a"/>
    <w:next w:val="a"/>
    <w:uiPriority w:val="99"/>
    <w:rsid w:val="006162C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6162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a"/>
    <w:rsid w:val="006162CF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character" w:customStyle="1" w:styleId="a9">
    <w:name w:val="Цветовое выделение"/>
    <w:uiPriority w:val="99"/>
    <w:rsid w:val="006162CF"/>
    <w:rPr>
      <w:b/>
      <w:color w:val="26282F"/>
    </w:rPr>
  </w:style>
  <w:style w:type="paragraph" w:styleId="aa">
    <w:name w:val="List Paragraph"/>
    <w:basedOn w:val="a"/>
    <w:uiPriority w:val="99"/>
    <w:qFormat/>
    <w:rsid w:val="001426FC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124E02"/>
    <w:pPr>
      <w:spacing w:before="100" w:beforeAutospacing="1" w:after="100" w:afterAutospacing="1"/>
      <w:jc w:val="left"/>
    </w:pPr>
  </w:style>
  <w:style w:type="paragraph" w:styleId="ab">
    <w:name w:val="Balloon Text"/>
    <w:basedOn w:val="a"/>
    <w:link w:val="ac"/>
    <w:uiPriority w:val="99"/>
    <w:semiHidden/>
    <w:unhideWhenUsed/>
    <w:rsid w:val="00D62ABA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D62ABA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99"/>
    <w:rsid w:val="00D11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5A7032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2F34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F3458"/>
    <w:rPr>
      <w:rFonts w:ascii="Times New Roman" w:eastAsia="Times New Roman" w:hAnsi="Times New Roman"/>
      <w:sz w:val="24"/>
      <w:szCs w:val="24"/>
    </w:rPr>
  </w:style>
  <w:style w:type="character" w:styleId="af1">
    <w:name w:val="FollowedHyperlink"/>
    <w:uiPriority w:val="99"/>
    <w:semiHidden/>
    <w:unhideWhenUsed/>
    <w:rsid w:val="003A42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007094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6EFB-8DB6-403F-9B67-C9E07594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17189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garantf1://70070944.0/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мо1</cp:lastModifiedBy>
  <cp:revision>5</cp:revision>
  <cp:lastPrinted>2024-09-26T14:00:00Z</cp:lastPrinted>
  <dcterms:created xsi:type="dcterms:W3CDTF">2024-09-26T08:02:00Z</dcterms:created>
  <dcterms:modified xsi:type="dcterms:W3CDTF">2024-09-26T14:00:00Z</dcterms:modified>
</cp:coreProperties>
</file>