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4A1313">
        <w:rPr>
          <w:rFonts w:ascii="PT Astra Serif" w:hAnsi="PT Astra Serif"/>
          <w:sz w:val="26"/>
          <w:szCs w:val="26"/>
        </w:rPr>
        <w:t>70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Дворское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97029B">
        <w:rPr>
          <w:rFonts w:ascii="PT Astra Serif" w:hAnsi="PT Astra Serif"/>
          <w:sz w:val="26"/>
          <w:szCs w:val="26"/>
        </w:rPr>
        <w:t>30 31</w:t>
      </w:r>
      <w:r w:rsidR="00CB2787">
        <w:rPr>
          <w:rFonts w:ascii="PT Astra Serif" w:hAnsi="PT Astra Serif"/>
          <w:sz w:val="26"/>
          <w:szCs w:val="26"/>
        </w:rPr>
        <w:t>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97029B">
        <w:rPr>
          <w:rFonts w:ascii="PT Astra Serif" w:hAnsi="PT Astra Serif"/>
          <w:sz w:val="26"/>
          <w:szCs w:val="26"/>
        </w:rPr>
        <w:t xml:space="preserve">Тридцать тысяч триста десять 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  <w:bookmarkStart w:id="0" w:name="_GoBack"/>
      <w:bookmarkEnd w:id="0"/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A1313"/>
    <w:rsid w:val="004C33A8"/>
    <w:rsid w:val="0057419E"/>
    <w:rsid w:val="00657D8D"/>
    <w:rsid w:val="00867A65"/>
    <w:rsid w:val="008B2186"/>
    <w:rsid w:val="00963593"/>
    <w:rsid w:val="0097029B"/>
    <w:rsid w:val="0099485F"/>
    <w:rsid w:val="00CB2787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22</cp:revision>
  <cp:lastPrinted>2021-07-07T12:23:00Z</cp:lastPrinted>
  <dcterms:created xsi:type="dcterms:W3CDTF">2021-07-07T12:24:00Z</dcterms:created>
  <dcterms:modified xsi:type="dcterms:W3CDTF">2024-01-11T09:16:00Z</dcterms:modified>
</cp:coreProperties>
</file>