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50" w:rsidRDefault="006A1B50" w:rsidP="006A1B50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sz w:val="28"/>
          <w:szCs w:val="28"/>
        </w:rPr>
      </w:pP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Regular"/>
          <w:b/>
          <w:sz w:val="28"/>
          <w:szCs w:val="28"/>
        </w:rPr>
      </w:pPr>
      <w:r w:rsidRPr="006A1B50">
        <w:rPr>
          <w:rFonts w:ascii="PT Astra Serif" w:hAnsi="PT Astra Serif" w:cs="PTAstraSerif-Regular"/>
          <w:b/>
          <w:sz w:val="28"/>
          <w:szCs w:val="28"/>
        </w:rPr>
        <w:t>ИНФОРМАЦИЯ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Regular"/>
          <w:b/>
          <w:sz w:val="28"/>
          <w:szCs w:val="28"/>
        </w:rPr>
      </w:pPr>
      <w:r w:rsidRPr="006A1B50">
        <w:rPr>
          <w:rFonts w:ascii="PT Astra Serif" w:hAnsi="PT Astra Serif" w:cs="PTAstraSerif-Regular"/>
          <w:b/>
          <w:sz w:val="28"/>
          <w:szCs w:val="28"/>
        </w:rPr>
        <w:t xml:space="preserve">о финансовой и нефинансовой поддержке 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Regular"/>
          <w:b/>
          <w:sz w:val="28"/>
          <w:szCs w:val="28"/>
        </w:rPr>
      </w:pPr>
      <w:r w:rsidRPr="006A1B50">
        <w:rPr>
          <w:rFonts w:ascii="PT Astra Serif" w:hAnsi="PT Astra Serif" w:cs="PTAstraSerif-Regular"/>
          <w:b/>
          <w:sz w:val="28"/>
          <w:szCs w:val="28"/>
        </w:rPr>
        <w:t>российских IT-компаний</w:t>
      </w:r>
    </w:p>
    <w:p w:rsidR="006A1B50" w:rsidRDefault="006A1B50" w:rsidP="006A1B50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sz w:val="28"/>
          <w:szCs w:val="28"/>
        </w:rPr>
      </w:pPr>
    </w:p>
    <w:p w:rsidR="0052692D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6A1B50">
        <w:rPr>
          <w:rFonts w:ascii="PT Astra Serif" w:hAnsi="PT Astra Serif" w:cs="PTAstraSerif-Regular"/>
          <w:sz w:val="28"/>
          <w:szCs w:val="28"/>
        </w:rPr>
        <w:t>Министерство экономического развития Тульской области в целях реализации регионального проекта «Цифровые технологии (Тульская область)» информирует о финансовой и нефинансовой поддержке российских IT-компаний.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PTAstraSerif-Regular"/>
          <w:color w:val="333333"/>
          <w:sz w:val="28"/>
          <w:szCs w:val="28"/>
        </w:rPr>
        <w:t>Лучше сумм, сэкономленных на налогах, только «живые» деньги, которые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можно вложить в развитие бизнеса. Для поддержки российского IT-сектора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президент России инициировал создание национального проекта «Цифровая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экономика».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Italic"/>
          <w:i/>
          <w:iCs/>
          <w:color w:val="333333"/>
          <w:sz w:val="28"/>
          <w:szCs w:val="28"/>
        </w:rPr>
      </w:pPr>
      <w:r w:rsidRPr="006A1B50">
        <w:rPr>
          <w:rFonts w:ascii="PT Astra Serif" w:hAnsi="PT Astra Serif" w:cs="PTAstraSerif-Italic"/>
          <w:i/>
          <w:iCs/>
          <w:color w:val="333333"/>
          <w:sz w:val="28"/>
          <w:szCs w:val="28"/>
        </w:rPr>
        <w:t>Статус национального проекта помогает привлекать деньги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PTAstraSerif-Regular"/>
          <w:color w:val="333333"/>
          <w:sz w:val="28"/>
          <w:szCs w:val="28"/>
        </w:rPr>
        <w:t>В рамках проекта к финансированию развития цифровых технологий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привлекают все возможные источники. В первую очередь это различные фонды и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госпрограммы.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PTAstraSerif-Regular"/>
          <w:color w:val="333333"/>
          <w:sz w:val="28"/>
          <w:szCs w:val="28"/>
        </w:rPr>
        <w:t>Фонд содействия инновациям (</w:t>
      </w:r>
      <w:r w:rsidRPr="006A1B50">
        <w:rPr>
          <w:rFonts w:ascii="PT Astra Serif" w:hAnsi="PT Astra Serif" w:cs="PTAstraSerif-Regular"/>
          <w:color w:val="428CCB"/>
          <w:sz w:val="28"/>
          <w:szCs w:val="28"/>
        </w:rPr>
        <w:t>ФСИ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). Он предлагает поучаствовать в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конкурсах на гранты: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SymbolMT"/>
          <w:color w:val="333333"/>
          <w:sz w:val="28"/>
          <w:szCs w:val="28"/>
        </w:rPr>
        <w:t xml:space="preserve">•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«</w:t>
      </w:r>
      <w:proofErr w:type="spell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Старт-ЦТ</w:t>
      </w:r>
      <w:proofErr w:type="spell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>». Позволяет малому IT-бизнесу получить до 4 млн</w:t>
      </w:r>
      <w:r>
        <w:rPr>
          <w:rFonts w:ascii="PT Astra Serif" w:hAnsi="PT Astra Serif" w:cs="PTAstraSerif-Regular"/>
          <w:color w:val="333333"/>
          <w:sz w:val="28"/>
          <w:szCs w:val="28"/>
        </w:rPr>
        <w:t>.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рублей на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зарплаты, сырьё, комплектующие и услуги, необходимые для разработки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продукта.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SymbolMT"/>
          <w:color w:val="333333"/>
          <w:sz w:val="28"/>
          <w:szCs w:val="28"/>
        </w:rPr>
        <w:t xml:space="preserve">•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«</w:t>
      </w:r>
      <w:proofErr w:type="spellStart"/>
      <w:proofErr w:type="gram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Старт-ИИ</w:t>
      </w:r>
      <w:proofErr w:type="spellEnd"/>
      <w:proofErr w:type="gram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>». Осуществляет поддержку перспективных российских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разработчиков и технологий, имитирующих когнитивные способности человека.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Выделяет до 4 млн</w:t>
      </w:r>
      <w:r>
        <w:rPr>
          <w:rFonts w:ascii="PT Astra Serif" w:hAnsi="PT Astra Serif" w:cs="PTAstraSerif-Regular"/>
          <w:color w:val="333333"/>
          <w:sz w:val="28"/>
          <w:szCs w:val="28"/>
        </w:rPr>
        <w:t>.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рублей на разработку.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PTAstraSerif-Regular"/>
          <w:color w:val="333333"/>
          <w:sz w:val="28"/>
          <w:szCs w:val="28"/>
        </w:rPr>
        <w:t>Инновационный центр «</w:t>
      </w:r>
      <w:proofErr w:type="spell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Сколково</w:t>
      </w:r>
      <w:proofErr w:type="spell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>». Помогает получить поддержку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proofErr w:type="gram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российскому</w:t>
      </w:r>
      <w:proofErr w:type="gram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IT в виде </w:t>
      </w:r>
      <w:r w:rsidRPr="006A1B50">
        <w:rPr>
          <w:rFonts w:ascii="PT Astra Serif" w:hAnsi="PT Astra Serif" w:cs="PTAstraSerif-Regular"/>
          <w:color w:val="428CCB"/>
          <w:sz w:val="28"/>
          <w:szCs w:val="28"/>
        </w:rPr>
        <w:t>грантов на инновационные проекты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. Это могут быть: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SymbolMT"/>
          <w:color w:val="333333"/>
          <w:sz w:val="28"/>
          <w:szCs w:val="28"/>
        </w:rPr>
        <w:t xml:space="preserve">• </w:t>
      </w:r>
      <w:proofErr w:type="spell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микрогранты</w:t>
      </w:r>
      <w:proofErr w:type="spell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на сумму до 4 млн</w:t>
      </w:r>
      <w:r>
        <w:rPr>
          <w:rFonts w:ascii="PT Astra Serif" w:hAnsi="PT Astra Serif" w:cs="PTAstraSerif-Regular"/>
          <w:color w:val="333333"/>
          <w:sz w:val="28"/>
          <w:szCs w:val="28"/>
        </w:rPr>
        <w:t>.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рублей в год — предоставляются для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финансирования отдельных инициатив, например испытаний продукта или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участия в выставках;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SymbolMT"/>
          <w:color w:val="333333"/>
          <w:sz w:val="28"/>
          <w:szCs w:val="28"/>
        </w:rPr>
        <w:t xml:space="preserve">•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мини-гранты на сумму до 7 млн</w:t>
      </w:r>
      <w:r>
        <w:rPr>
          <w:rFonts w:ascii="PT Astra Serif" w:hAnsi="PT Astra Serif" w:cs="PTAstraSerif-Regular"/>
          <w:color w:val="333333"/>
          <w:sz w:val="28"/>
          <w:szCs w:val="28"/>
        </w:rPr>
        <w:t>.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рублей разово — на зарплаты сотрудникам,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сырьё для тестовых образцов, оформление интеллектуальной собственности и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другие нужды.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PTAstraSerif-Regular"/>
          <w:color w:val="333333"/>
          <w:sz w:val="28"/>
          <w:szCs w:val="28"/>
        </w:rPr>
        <w:t>Получить грант «</w:t>
      </w:r>
      <w:proofErr w:type="spell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Сколково</w:t>
      </w:r>
      <w:proofErr w:type="spell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>» могут только его резиденты. Стоит учесть, что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на </w:t>
      </w:r>
      <w:r w:rsidRPr="006A1B50">
        <w:rPr>
          <w:rFonts w:ascii="PT Astra Serif" w:hAnsi="PT Astra Serif" w:cs="PTAstraSerif-Regular"/>
          <w:color w:val="428CCB"/>
          <w:sz w:val="28"/>
          <w:szCs w:val="28"/>
        </w:rPr>
        <w:t xml:space="preserve">оформление </w:t>
      </w:r>
      <w:proofErr w:type="spellStart"/>
      <w:r w:rsidRPr="006A1B50">
        <w:rPr>
          <w:rFonts w:ascii="PT Astra Serif" w:hAnsi="PT Astra Serif" w:cs="PTAstraSerif-Regular"/>
          <w:color w:val="428CCB"/>
          <w:sz w:val="28"/>
          <w:szCs w:val="28"/>
        </w:rPr>
        <w:t>резидентства</w:t>
      </w:r>
      <w:proofErr w:type="spellEnd"/>
      <w:r w:rsidRPr="006A1B50">
        <w:rPr>
          <w:rFonts w:ascii="PT Astra Serif" w:hAnsi="PT Astra Serif" w:cs="PTAstraSerif-Regular"/>
          <w:color w:val="428CCB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уходит до нескольких месяцев.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Фонд развития </w:t>
      </w:r>
      <w:proofErr w:type="spellStart"/>
      <w:proofErr w:type="gram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интернет-инициатив</w:t>
      </w:r>
      <w:proofErr w:type="spellEnd"/>
      <w:proofErr w:type="gram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(ФРИИ). Предлагает поучаствовать в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бесплатной программе ускоренного развития бизнеса </w:t>
      </w:r>
      <w:r w:rsidRPr="006A1B50">
        <w:rPr>
          <w:rFonts w:ascii="PT Astra Serif" w:hAnsi="PT Astra Serif" w:cs="PTAstraSerif-Regular"/>
          <w:color w:val="428CCB"/>
          <w:sz w:val="28"/>
          <w:szCs w:val="28"/>
        </w:rPr>
        <w:t>«</w:t>
      </w:r>
      <w:proofErr w:type="spellStart"/>
      <w:r w:rsidRPr="006A1B50">
        <w:rPr>
          <w:rFonts w:ascii="PT Astra Serif" w:hAnsi="PT Astra Serif" w:cs="PTAstraSerif-Regular"/>
          <w:color w:val="428CCB"/>
          <w:sz w:val="28"/>
          <w:szCs w:val="28"/>
        </w:rPr>
        <w:t>АкселераторСпринт</w:t>
      </w:r>
      <w:proofErr w:type="spellEnd"/>
      <w:r w:rsidRPr="006A1B50">
        <w:rPr>
          <w:rFonts w:ascii="PT Astra Serif" w:hAnsi="PT Astra Serif" w:cs="PTAstraSerif-Regular"/>
          <w:color w:val="428CCB"/>
          <w:sz w:val="28"/>
          <w:szCs w:val="28"/>
        </w:rPr>
        <w:t>»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,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рассчитанной на 12 недель. «Акселератор» оказывает значительную поддержку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proofErr w:type="spell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стартапам</w:t>
      </w:r>
      <w:proofErr w:type="spell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и давно существующим малым организациям, нацеленным на серьёзный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рывок в развитии. За время спринта эксперты фонда помогают: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SymbolMT"/>
          <w:color w:val="333333"/>
          <w:sz w:val="28"/>
          <w:szCs w:val="28"/>
        </w:rPr>
        <w:t xml:space="preserve">•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усилить предпринимательские и профессиональные компетенции лидера и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команды проекта;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SymbolMT"/>
          <w:color w:val="333333"/>
          <w:sz w:val="28"/>
          <w:szCs w:val="28"/>
        </w:rPr>
        <w:t xml:space="preserve">•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доработать технические решения;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SymbolMT"/>
          <w:color w:val="333333"/>
          <w:sz w:val="28"/>
          <w:szCs w:val="28"/>
        </w:rPr>
        <w:t xml:space="preserve">•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найти новые сегменты клиентов и масштабироваться.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PTAstraSerif-Regular"/>
          <w:color w:val="333333"/>
          <w:sz w:val="28"/>
          <w:szCs w:val="28"/>
        </w:rPr>
        <w:lastRenderedPageBreak/>
        <w:t>Участники отмечают значительный рост продаж и прибыли по итогам участия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в проекте. Участвовать можно </w:t>
      </w:r>
      <w:proofErr w:type="spell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офлайн</w:t>
      </w:r>
      <w:proofErr w:type="spell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и </w:t>
      </w:r>
      <w:proofErr w:type="spell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онлайн</w:t>
      </w:r>
      <w:proofErr w:type="spell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>, то есть существует возможность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присоединиться и региональным бизнесам.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PTAstraSerif-Regular"/>
          <w:color w:val="222223"/>
          <w:sz w:val="28"/>
          <w:szCs w:val="28"/>
        </w:rPr>
        <w:t>Другие меры поддержки отечественных IT-компаний</w:t>
      </w:r>
      <w:r>
        <w:rPr>
          <w:rFonts w:ascii="PT Astra Serif" w:hAnsi="PT Astra Serif" w:cs="PTAstraSerif-Regular"/>
          <w:color w:val="22222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IT-сектору помогают не только материально, но и в привлечении кадров,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поиске заказов и другими способами. Развитию отрасли способствуют: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SymbolMT"/>
          <w:color w:val="333333"/>
          <w:sz w:val="28"/>
          <w:szCs w:val="28"/>
        </w:rPr>
        <w:t xml:space="preserve">•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Выгодные кредиты на бизнес. На проекты по разработке или внедрению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proofErr w:type="gram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отечественного</w:t>
      </w:r>
      <w:proofErr w:type="gram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ПО можно получить льготный кредит под 3% годовых. Для этого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не нужна даже IT-аккредитация.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SymbolMT"/>
          <w:color w:val="333333"/>
          <w:sz w:val="28"/>
          <w:szCs w:val="28"/>
        </w:rPr>
        <w:t xml:space="preserve">•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Ипотека для сотрудников на особых условиях. Для сотрудников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аккредитованных IT-компаний она доступна под 5% годовых при ставке ЦБ 16%.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PTAstraSerif-Regular"/>
          <w:color w:val="333333"/>
          <w:sz w:val="28"/>
          <w:szCs w:val="28"/>
        </w:rPr>
        <w:t>Региональным властям разрешено снизить ставку ещё значительнее. Программа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действует до конца 2024 года, но льготная ставка сохраняется до окончания срока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выплат.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333333"/>
          <w:sz w:val="28"/>
          <w:szCs w:val="28"/>
        </w:rPr>
      </w:pPr>
      <w:r w:rsidRPr="006A1B50">
        <w:rPr>
          <w:rFonts w:ascii="PT Astra Serif" w:hAnsi="PT Astra Serif" w:cs="SymbolMT"/>
          <w:color w:val="333333"/>
          <w:sz w:val="28"/>
          <w:szCs w:val="28"/>
        </w:rPr>
        <w:t xml:space="preserve">•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Упрощённый порядок оформления иностранных специалистов. Если для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разработки отечественного </w:t>
      </w:r>
      <w:proofErr w:type="gram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ПО</w:t>
      </w:r>
      <w:proofErr w:type="gram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proofErr w:type="gram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будут</w:t>
      </w:r>
      <w:proofErr w:type="gram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полезны навыки иностранного специалиста,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для него можно не оформлять разрешение на работу или патент. Достаточно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заключить трудовой договор или ГПХ. При этом специалист и члены его семьи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получают бессрочный вид на жительство в России.</w:t>
      </w:r>
    </w:p>
    <w:p w:rsidR="006A1B50" w:rsidRPr="006A1B50" w:rsidRDefault="006A1B50" w:rsidP="006A1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1B50">
        <w:rPr>
          <w:rFonts w:ascii="PT Astra Serif" w:hAnsi="PT Astra Serif" w:cs="SymbolMT"/>
          <w:color w:val="333333"/>
          <w:sz w:val="28"/>
          <w:szCs w:val="28"/>
        </w:rPr>
        <w:t xml:space="preserve">•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Преимущества в </w:t>
      </w:r>
      <w:proofErr w:type="spell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госзакупках</w:t>
      </w:r>
      <w:proofErr w:type="spell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>. Нацпроект «Цифровая экономика» предполагает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полный переход всех госструктур на </w:t>
      </w:r>
      <w:proofErr w:type="gram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отечественное</w:t>
      </w:r>
      <w:proofErr w:type="gram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ПО. Выбирать и приобретать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можно </w:t>
      </w:r>
      <w:proofErr w:type="gramStart"/>
      <w:r w:rsidRPr="006A1B50">
        <w:rPr>
          <w:rFonts w:ascii="PT Astra Serif" w:hAnsi="PT Astra Serif" w:cs="PTAstraSerif-Regular"/>
          <w:color w:val="333333"/>
          <w:sz w:val="28"/>
          <w:szCs w:val="28"/>
        </w:rPr>
        <w:t>ПО</w:t>
      </w:r>
      <w:proofErr w:type="gramEnd"/>
      <w:r w:rsidRPr="006A1B50"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proofErr w:type="gramStart"/>
      <w:r w:rsidRPr="006A1B50">
        <w:rPr>
          <w:rFonts w:ascii="PT Astra Serif" w:hAnsi="PT Astra Serif" w:cs="PTAstraSerif-Regular"/>
          <w:color w:val="428CCB"/>
          <w:sz w:val="28"/>
          <w:szCs w:val="28"/>
        </w:rPr>
        <w:t>из</w:t>
      </w:r>
      <w:proofErr w:type="gramEnd"/>
      <w:r w:rsidRPr="006A1B50">
        <w:rPr>
          <w:rFonts w:ascii="PT Astra Serif" w:hAnsi="PT Astra Serif" w:cs="PTAstraSerif-Regular"/>
          <w:color w:val="428CCB"/>
          <w:sz w:val="28"/>
          <w:szCs w:val="28"/>
        </w:rPr>
        <w:t xml:space="preserve"> единого реестра российских программ для ЭВМ и баз данных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. То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есть включение в реестр даёт продукту преимущество в поисках надёжного</w:t>
      </w:r>
      <w:r>
        <w:rPr>
          <w:rFonts w:ascii="PT Astra Serif" w:hAnsi="PT Astra Serif" w:cs="PTAstraSerif-Regular"/>
          <w:color w:val="333333"/>
          <w:sz w:val="28"/>
          <w:szCs w:val="28"/>
        </w:rPr>
        <w:t xml:space="preserve"> </w:t>
      </w:r>
      <w:r w:rsidRPr="006A1B50">
        <w:rPr>
          <w:rFonts w:ascii="PT Astra Serif" w:hAnsi="PT Astra Serif" w:cs="PTAstraSerif-Regular"/>
          <w:color w:val="333333"/>
          <w:sz w:val="28"/>
          <w:szCs w:val="28"/>
        </w:rPr>
        <w:t>покупателя.</w:t>
      </w:r>
    </w:p>
    <w:sectPr w:rsidR="006A1B50" w:rsidRPr="006A1B50" w:rsidSect="0052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1B50"/>
    <w:rsid w:val="0052692D"/>
    <w:rsid w:val="006A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2024-12-24T11:05:00Z</dcterms:created>
  <dcterms:modified xsi:type="dcterms:W3CDTF">2024-12-24T11:12:00Z</dcterms:modified>
</cp:coreProperties>
</file>